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1B1F" w:rsidRPr="00C21B1F" w:rsidRDefault="00C21B1F" w:rsidP="00C21B1F">
      <w:pPr>
        <w:spacing w:after="0" w:line="360" w:lineRule="auto"/>
        <w:rPr>
          <w:rFonts w:asciiTheme="majorHAnsi" w:eastAsiaTheme="majorEastAsia" w:hAnsiTheme="majorHAnsi" w:cstheme="majorBidi"/>
          <w:iCs/>
          <w:sz w:val="28"/>
          <w:szCs w:val="28"/>
        </w:rPr>
      </w:pPr>
      <w:r w:rsidRPr="002C2AF6">
        <w:rPr>
          <w:rFonts w:asciiTheme="majorHAnsi" w:eastAsiaTheme="majorEastAsia" w:hAnsiTheme="majorHAnsi" w:cstheme="majorBidi"/>
          <w:iCs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147674" wp14:editId="7010F20A">
                <wp:simplePos x="0" y="0"/>
                <wp:positionH relativeFrom="page">
                  <wp:posOffset>659567</wp:posOffset>
                </wp:positionH>
                <wp:positionV relativeFrom="page">
                  <wp:posOffset>944380</wp:posOffset>
                </wp:positionV>
                <wp:extent cx="6100997" cy="8904158"/>
                <wp:effectExtent l="38100" t="38100" r="33655" b="304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997" cy="890415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1606" w:rsidRDefault="005E1606" w:rsidP="00C21B1F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  <w:p w:rsidR="005E1606" w:rsidRDefault="005E1606" w:rsidP="00C21B1F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eastAsiaTheme="majorEastAsia" w:hAnsi="Georgia" w:cstheme="majorBidi"/>
                                <w:iCs/>
                                <w:noProof/>
                                <w:sz w:val="52"/>
                                <w:szCs w:val="52"/>
                                <w:lang w:eastAsia="en-IE"/>
                              </w:rPr>
                              <w:drawing>
                                <wp:inline distT="0" distB="0" distL="0" distR="0" wp14:anchorId="16452A00" wp14:editId="7669056F">
                                  <wp:extent cx="942975" cy="963884"/>
                                  <wp:effectExtent l="0" t="0" r="0" b="8255"/>
                                  <wp:docPr id="2" name="Picture 2" descr="C:\Users\Windows\Documents\crest col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ndows\Documents\crest col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564" cy="965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1606" w:rsidRDefault="005E1606" w:rsidP="00C21B1F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Cs/>
                                <w:sz w:val="52"/>
                                <w:szCs w:val="52"/>
                              </w:rPr>
                            </w:pPr>
                            <w:r w:rsidRPr="00C21B1F">
                              <w:rPr>
                                <w:rFonts w:ascii="Georgia" w:eastAsiaTheme="majorEastAsia" w:hAnsi="Georgia" w:cstheme="majorBidi"/>
                                <w:iCs/>
                                <w:sz w:val="52"/>
                                <w:szCs w:val="52"/>
                              </w:rPr>
                              <w:t>St Aloysius Secondary School.</w:t>
                            </w:r>
                          </w:p>
                          <w:p w:rsidR="005E1606" w:rsidRDefault="005E1606" w:rsidP="00C21B1F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eastAsiaTheme="majorEastAsia" w:hAnsi="Georgia" w:cstheme="majorBidi"/>
                                <w:iCs/>
                                <w:sz w:val="52"/>
                                <w:szCs w:val="52"/>
                              </w:rPr>
                              <w:t>Sharman Crawford Street, Cork.</w:t>
                            </w:r>
                          </w:p>
                          <w:p w:rsidR="005E1606" w:rsidRDefault="005E1606" w:rsidP="00C21B1F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eastAsiaTheme="majorEastAsia" w:hAnsi="Georgia" w:cstheme="majorBidi"/>
                                <w:iCs/>
                                <w:sz w:val="52"/>
                                <w:szCs w:val="52"/>
                              </w:rPr>
                              <w:t>62630J.</w:t>
                            </w:r>
                          </w:p>
                          <w:p w:rsidR="005E1606" w:rsidRDefault="005E1606" w:rsidP="00C21B1F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  <w:p w:rsidR="005E1606" w:rsidRPr="00C21B1F" w:rsidRDefault="005E1606" w:rsidP="00C21B1F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  <w:p w:rsidR="005E1606" w:rsidRDefault="005E1606" w:rsidP="006A3EDA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C21B1F">
                              <w:rPr>
                                <w:rFonts w:ascii="Georgia" w:eastAsiaTheme="majorEastAsia" w:hAnsi="Georgia" w:cstheme="majorBidi"/>
                                <w:b/>
                                <w:iCs/>
                                <w:sz w:val="52"/>
                                <w:szCs w:val="52"/>
                              </w:rPr>
                              <w:t>School Self- Evaluation Report.</w:t>
                            </w:r>
                          </w:p>
                          <w:p w:rsidR="005E1606" w:rsidRDefault="005E1606" w:rsidP="006A3EDA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  <w:p w:rsidR="005E1606" w:rsidRPr="006A3EDA" w:rsidRDefault="005E1606" w:rsidP="006A3EDA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  <w:p w:rsidR="005E1606" w:rsidRDefault="005E1606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6A3EDA">
                              <w:rPr>
                                <w:rFonts w:ascii="Georgia" w:eastAsiaTheme="majorEastAsia" w:hAnsi="Georgia" w:cstheme="majorBidi"/>
                                <w:iCs/>
                                <w:sz w:val="40"/>
                                <w:szCs w:val="40"/>
                              </w:rPr>
                              <w:t>Evaluation Period: September 2013 – May 2014</w:t>
                            </w:r>
                          </w:p>
                          <w:p w:rsidR="005E1606" w:rsidRDefault="005E1606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5E1606" w:rsidRPr="006A3EDA" w:rsidRDefault="005E1606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5E1606" w:rsidRPr="006A3EDA" w:rsidRDefault="005E1606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6A3EDA">
                              <w:rPr>
                                <w:rFonts w:ascii="Georgia" w:eastAsiaTheme="majorEastAsia" w:hAnsi="Georgia" w:cstheme="majorBidi"/>
                                <w:iCs/>
                                <w:sz w:val="40"/>
                                <w:szCs w:val="40"/>
                              </w:rPr>
                              <w:t>Report Published: September 2014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95pt;margin-top:74.35pt;width:480.4pt;height:701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:rsidR="00AD0F38" w:rsidRDefault="00AD0F38" w:rsidP="00C21B1F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Cs/>
                          <w:sz w:val="52"/>
                          <w:szCs w:val="52"/>
                        </w:rPr>
                      </w:pPr>
                    </w:p>
                    <w:p w:rsidR="00AD0F38" w:rsidRDefault="00AD0F38" w:rsidP="00C21B1F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Georgia" w:eastAsiaTheme="majorEastAsia" w:hAnsi="Georgia" w:cstheme="majorBidi"/>
                          <w:iCs/>
                          <w:noProof/>
                          <w:sz w:val="52"/>
                          <w:szCs w:val="52"/>
                          <w:lang w:eastAsia="en-IE"/>
                        </w:rPr>
                        <w:drawing>
                          <wp:inline distT="0" distB="0" distL="0" distR="0" wp14:anchorId="16452A00" wp14:editId="7669056F">
                            <wp:extent cx="942975" cy="963884"/>
                            <wp:effectExtent l="0" t="0" r="0" b="8255"/>
                            <wp:docPr id="2" name="Picture 2" descr="C:\Users\Windows\Documents\crest col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ndows\Documents\crest colo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564" cy="965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0F38" w:rsidRDefault="00AD0F38" w:rsidP="00C21B1F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Cs/>
                          <w:sz w:val="52"/>
                          <w:szCs w:val="52"/>
                        </w:rPr>
                      </w:pPr>
                      <w:proofErr w:type="gramStart"/>
                      <w:r w:rsidRPr="00C21B1F">
                        <w:rPr>
                          <w:rFonts w:ascii="Georgia" w:eastAsiaTheme="majorEastAsia" w:hAnsi="Georgia" w:cstheme="majorBidi"/>
                          <w:iCs/>
                          <w:sz w:val="52"/>
                          <w:szCs w:val="52"/>
                        </w:rPr>
                        <w:t>St Aloysius Secondary School.</w:t>
                      </w:r>
                      <w:proofErr w:type="gramEnd"/>
                    </w:p>
                    <w:p w:rsidR="00AD0F38" w:rsidRDefault="00AD0F38" w:rsidP="00C21B1F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Georgia" w:eastAsiaTheme="majorEastAsia" w:hAnsi="Georgia" w:cstheme="majorBidi"/>
                          <w:iCs/>
                          <w:sz w:val="52"/>
                          <w:szCs w:val="52"/>
                        </w:rPr>
                        <w:t>Sharman Crawford Street, Cork.</w:t>
                      </w:r>
                    </w:p>
                    <w:p w:rsidR="00AD0F38" w:rsidRDefault="00AD0F38" w:rsidP="00C21B1F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Georgia" w:eastAsiaTheme="majorEastAsia" w:hAnsi="Georgia" w:cstheme="majorBidi"/>
                          <w:iCs/>
                          <w:sz w:val="52"/>
                          <w:szCs w:val="52"/>
                        </w:rPr>
                        <w:t>62630J.</w:t>
                      </w:r>
                    </w:p>
                    <w:p w:rsidR="00AD0F38" w:rsidRDefault="00AD0F38" w:rsidP="00C21B1F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Cs/>
                          <w:sz w:val="52"/>
                          <w:szCs w:val="52"/>
                        </w:rPr>
                      </w:pPr>
                    </w:p>
                    <w:p w:rsidR="00AD0F38" w:rsidRPr="00C21B1F" w:rsidRDefault="00AD0F38" w:rsidP="00C21B1F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Cs/>
                          <w:sz w:val="52"/>
                          <w:szCs w:val="52"/>
                        </w:rPr>
                      </w:pPr>
                    </w:p>
                    <w:p w:rsidR="00AD0F38" w:rsidRDefault="00AD0F38" w:rsidP="006A3EDA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b/>
                          <w:iCs/>
                          <w:sz w:val="52"/>
                          <w:szCs w:val="52"/>
                        </w:rPr>
                      </w:pPr>
                      <w:proofErr w:type="gramStart"/>
                      <w:r w:rsidRPr="00C21B1F">
                        <w:rPr>
                          <w:rFonts w:ascii="Georgia" w:eastAsiaTheme="majorEastAsia" w:hAnsi="Georgia" w:cstheme="majorBidi"/>
                          <w:b/>
                          <w:iCs/>
                          <w:sz w:val="52"/>
                          <w:szCs w:val="52"/>
                        </w:rPr>
                        <w:t>School Self- Evaluation Report.</w:t>
                      </w:r>
                      <w:proofErr w:type="gramEnd"/>
                    </w:p>
                    <w:p w:rsidR="00AD0F38" w:rsidRDefault="00AD0F38" w:rsidP="006A3EDA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b/>
                          <w:iCs/>
                          <w:sz w:val="52"/>
                          <w:szCs w:val="52"/>
                        </w:rPr>
                      </w:pPr>
                    </w:p>
                    <w:p w:rsidR="00AD0F38" w:rsidRPr="006A3EDA" w:rsidRDefault="00AD0F38" w:rsidP="006A3EDA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b/>
                          <w:iCs/>
                          <w:sz w:val="52"/>
                          <w:szCs w:val="52"/>
                        </w:rPr>
                      </w:pPr>
                    </w:p>
                    <w:p w:rsidR="00AD0F38" w:rsidRDefault="00AD0F38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Cs/>
                          <w:sz w:val="40"/>
                          <w:szCs w:val="40"/>
                        </w:rPr>
                      </w:pPr>
                      <w:r w:rsidRPr="006A3EDA">
                        <w:rPr>
                          <w:rFonts w:ascii="Georgia" w:eastAsiaTheme="majorEastAsia" w:hAnsi="Georgia" w:cstheme="majorBidi"/>
                          <w:iCs/>
                          <w:sz w:val="40"/>
                          <w:szCs w:val="40"/>
                        </w:rPr>
                        <w:t>Evaluation Period: September 2013 – May 2014</w:t>
                      </w:r>
                    </w:p>
                    <w:p w:rsidR="00AD0F38" w:rsidRDefault="00AD0F38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Cs/>
                          <w:sz w:val="40"/>
                          <w:szCs w:val="40"/>
                        </w:rPr>
                      </w:pPr>
                    </w:p>
                    <w:p w:rsidR="00AD0F38" w:rsidRPr="006A3EDA" w:rsidRDefault="00AD0F38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Cs/>
                          <w:sz w:val="40"/>
                          <w:szCs w:val="40"/>
                        </w:rPr>
                      </w:pPr>
                    </w:p>
                    <w:p w:rsidR="00AD0F38" w:rsidRPr="006A3EDA" w:rsidRDefault="00AD0F38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Cs/>
                          <w:sz w:val="40"/>
                          <w:szCs w:val="40"/>
                        </w:rPr>
                      </w:pPr>
                      <w:r w:rsidRPr="006A3EDA">
                        <w:rPr>
                          <w:rFonts w:ascii="Georgia" w:eastAsiaTheme="majorEastAsia" w:hAnsi="Georgia" w:cstheme="majorBidi"/>
                          <w:iCs/>
                          <w:sz w:val="40"/>
                          <w:szCs w:val="40"/>
                        </w:rPr>
                        <w:t>Report Published: September 2014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21B1F" w:rsidRDefault="00C21B1F" w:rsidP="002C2AF6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2C2AF6" w:rsidRPr="002C2AF6" w:rsidRDefault="002C2AF6" w:rsidP="002C2AF6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2C2AF6">
        <w:rPr>
          <w:rFonts w:ascii="Georgia" w:hAnsi="Georgia"/>
          <w:b/>
          <w:sz w:val="24"/>
          <w:szCs w:val="24"/>
          <w:u w:val="single"/>
        </w:rPr>
        <w:t>School Self-Evaluation Report</w:t>
      </w:r>
    </w:p>
    <w:p w:rsidR="002C2AF6" w:rsidRPr="002C2AF6" w:rsidRDefault="002C2AF6" w:rsidP="002C2AF6">
      <w:pPr>
        <w:rPr>
          <w:rFonts w:ascii="Georgia" w:hAnsi="Georgia"/>
          <w:b/>
          <w:sz w:val="24"/>
          <w:szCs w:val="24"/>
        </w:rPr>
      </w:pPr>
      <w:r w:rsidRPr="002C2AF6">
        <w:rPr>
          <w:rFonts w:ascii="Georgia" w:hAnsi="Georgia"/>
          <w:b/>
          <w:sz w:val="24"/>
          <w:szCs w:val="24"/>
        </w:rPr>
        <w:t>1. Introduction</w:t>
      </w:r>
    </w:p>
    <w:p w:rsidR="002C2AF6" w:rsidRPr="002C2AF6" w:rsidRDefault="002C2AF6" w:rsidP="002C2AF6">
      <w:pPr>
        <w:rPr>
          <w:rFonts w:ascii="Georgia" w:hAnsi="Georgia"/>
          <w:b/>
          <w:sz w:val="24"/>
          <w:szCs w:val="24"/>
        </w:rPr>
      </w:pPr>
      <w:r w:rsidRPr="002C2AF6">
        <w:rPr>
          <w:rFonts w:ascii="Georgia" w:hAnsi="Georgia"/>
          <w:b/>
          <w:sz w:val="24"/>
          <w:szCs w:val="24"/>
        </w:rPr>
        <w:t>1.1 The focus of the evaluation</w:t>
      </w:r>
    </w:p>
    <w:p w:rsidR="00C21B1F" w:rsidRDefault="002C2AF6" w:rsidP="002C2AF6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2C2AF6">
        <w:rPr>
          <w:rFonts w:ascii="Georgia" w:hAnsi="Georgia"/>
          <w:sz w:val="24"/>
          <w:szCs w:val="24"/>
        </w:rPr>
        <w:t xml:space="preserve">A school self-evaluation of teaching and learning in </w:t>
      </w:r>
      <w:r>
        <w:rPr>
          <w:rFonts w:ascii="Georgia" w:hAnsi="Georgia"/>
          <w:sz w:val="24"/>
          <w:szCs w:val="24"/>
        </w:rPr>
        <w:t xml:space="preserve">St. Aloysius Secondary School was </w:t>
      </w:r>
      <w:r w:rsidRPr="002C2AF6">
        <w:rPr>
          <w:rFonts w:ascii="Georgia" w:hAnsi="Georgia"/>
          <w:sz w:val="24"/>
          <w:szCs w:val="24"/>
        </w:rPr>
        <w:t xml:space="preserve">undertaken during the period </w:t>
      </w:r>
      <w:r>
        <w:rPr>
          <w:rFonts w:ascii="Georgia" w:hAnsi="Georgia"/>
          <w:sz w:val="24"/>
          <w:szCs w:val="24"/>
        </w:rPr>
        <w:t>September</w:t>
      </w:r>
      <w:r w:rsidRPr="002C2AF6">
        <w:rPr>
          <w:rFonts w:ascii="Georgia" w:hAnsi="Georgia"/>
          <w:sz w:val="24"/>
          <w:szCs w:val="24"/>
        </w:rPr>
        <w:t xml:space="preserve"> 2013 to</w:t>
      </w:r>
      <w:r>
        <w:rPr>
          <w:rFonts w:ascii="Georgia" w:hAnsi="Georgia"/>
          <w:sz w:val="24"/>
          <w:szCs w:val="24"/>
        </w:rPr>
        <w:t xml:space="preserve"> May</w:t>
      </w:r>
      <w:r w:rsidRPr="002C2AF6">
        <w:rPr>
          <w:rFonts w:ascii="Georgia" w:hAnsi="Georgia"/>
          <w:sz w:val="24"/>
          <w:szCs w:val="24"/>
        </w:rPr>
        <w:t xml:space="preserve"> 2014. D</w:t>
      </w:r>
      <w:r>
        <w:rPr>
          <w:rFonts w:ascii="Georgia" w:hAnsi="Georgia"/>
          <w:sz w:val="24"/>
          <w:szCs w:val="24"/>
        </w:rPr>
        <w:t xml:space="preserve">uring the period of evaluation, teaching </w:t>
      </w:r>
      <w:r w:rsidRPr="002C2AF6">
        <w:rPr>
          <w:rFonts w:ascii="Georgia" w:hAnsi="Georgia"/>
          <w:sz w:val="24"/>
          <w:szCs w:val="24"/>
        </w:rPr>
        <w:t xml:space="preserve">and learning in the following area </w:t>
      </w:r>
      <w:r w:rsidR="00C21B1F">
        <w:rPr>
          <w:rFonts w:ascii="Georgia" w:hAnsi="Georgia"/>
          <w:sz w:val="24"/>
          <w:szCs w:val="24"/>
        </w:rPr>
        <w:t>of literacy was evaluated.</w:t>
      </w:r>
    </w:p>
    <w:p w:rsidR="002C2AF6" w:rsidRPr="00C21B1F" w:rsidRDefault="002C2AF6" w:rsidP="002C2AF6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2C2AF6">
        <w:rPr>
          <w:rFonts w:ascii="Georgia" w:hAnsi="Georgia"/>
          <w:sz w:val="24"/>
          <w:szCs w:val="24"/>
          <w:u w:val="single"/>
        </w:rPr>
        <w:t xml:space="preserve"> </w:t>
      </w:r>
    </w:p>
    <w:p w:rsidR="002C2AF6" w:rsidRDefault="002C2AF6" w:rsidP="002C2AF6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2C2AF6">
        <w:rPr>
          <w:rFonts w:ascii="Georgia" w:hAnsi="Georgia"/>
          <w:sz w:val="24"/>
          <w:szCs w:val="24"/>
        </w:rPr>
        <w:t>A Literacy core team was established and fol</w:t>
      </w:r>
      <w:r>
        <w:rPr>
          <w:rFonts w:ascii="Georgia" w:hAnsi="Georgia"/>
          <w:sz w:val="24"/>
          <w:szCs w:val="24"/>
        </w:rPr>
        <w:t xml:space="preserve">lowing a number of preliminary </w:t>
      </w:r>
      <w:r w:rsidRPr="002C2AF6">
        <w:rPr>
          <w:rFonts w:ascii="Georgia" w:hAnsi="Georgia"/>
          <w:sz w:val="24"/>
          <w:szCs w:val="24"/>
        </w:rPr>
        <w:t>discussion meetings, the team decided on a six-step evidence-</w:t>
      </w:r>
      <w:r>
        <w:rPr>
          <w:rFonts w:ascii="Georgia" w:hAnsi="Georgia"/>
          <w:sz w:val="24"/>
          <w:szCs w:val="24"/>
        </w:rPr>
        <w:t xml:space="preserve">based plan to assess the state </w:t>
      </w:r>
      <w:r w:rsidRPr="002C2AF6">
        <w:rPr>
          <w:rFonts w:ascii="Georgia" w:hAnsi="Georgia"/>
          <w:sz w:val="24"/>
          <w:szCs w:val="24"/>
        </w:rPr>
        <w:t>of literacy among the target group (the second year cohort</w:t>
      </w:r>
      <w:r>
        <w:rPr>
          <w:rFonts w:ascii="Georgia" w:hAnsi="Georgia"/>
          <w:sz w:val="24"/>
          <w:szCs w:val="24"/>
        </w:rPr>
        <w:t xml:space="preserve">). Various members of the core </w:t>
      </w:r>
      <w:r w:rsidRPr="002C2AF6">
        <w:rPr>
          <w:rFonts w:ascii="Georgia" w:hAnsi="Georgia"/>
          <w:sz w:val="24"/>
          <w:szCs w:val="24"/>
        </w:rPr>
        <w:t>group took responsibility for different aspects of the plan an</w:t>
      </w:r>
      <w:r>
        <w:rPr>
          <w:rFonts w:ascii="Georgia" w:hAnsi="Georgia"/>
          <w:sz w:val="24"/>
          <w:szCs w:val="24"/>
        </w:rPr>
        <w:t xml:space="preserve">d for devising, administering, </w:t>
      </w:r>
      <w:r w:rsidRPr="002C2AF6">
        <w:rPr>
          <w:rFonts w:ascii="Georgia" w:hAnsi="Georgia"/>
          <w:sz w:val="24"/>
          <w:szCs w:val="24"/>
        </w:rPr>
        <w:t>administering and analysing the tests and surveys.</w:t>
      </w:r>
    </w:p>
    <w:p w:rsidR="002C2AF6" w:rsidRDefault="002C2AF6" w:rsidP="002C2AF6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2C2AF6" w:rsidRDefault="002C2AF6" w:rsidP="002C2AF6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2C2AF6">
        <w:rPr>
          <w:rFonts w:ascii="Georgia" w:hAnsi="Georgia"/>
          <w:sz w:val="24"/>
          <w:szCs w:val="24"/>
        </w:rPr>
        <w:t xml:space="preserve"> The School Improvemen</w:t>
      </w:r>
      <w:r>
        <w:rPr>
          <w:rFonts w:ascii="Georgia" w:hAnsi="Georgia"/>
          <w:sz w:val="24"/>
          <w:szCs w:val="24"/>
        </w:rPr>
        <w:t xml:space="preserve">t Plan (S.I.P.) was drawn </w:t>
      </w:r>
      <w:r w:rsidRPr="002C2AF6">
        <w:rPr>
          <w:rFonts w:ascii="Georgia" w:hAnsi="Georgia"/>
          <w:sz w:val="24"/>
          <w:szCs w:val="24"/>
        </w:rPr>
        <w:t xml:space="preserve">up by the Principal in collaboration with the </w:t>
      </w:r>
      <w:r>
        <w:rPr>
          <w:rFonts w:ascii="Georgia" w:hAnsi="Georgia"/>
          <w:sz w:val="24"/>
          <w:szCs w:val="24"/>
        </w:rPr>
        <w:t>literacy coordinator.</w:t>
      </w:r>
      <w:r w:rsidRPr="002C2AF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The S.I.P. was </w:t>
      </w:r>
      <w:r w:rsidRPr="002C2AF6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>ater published to the entire</w:t>
      </w:r>
      <w:r w:rsidRPr="002C2AF6">
        <w:rPr>
          <w:rFonts w:ascii="Georgia" w:hAnsi="Georgia"/>
          <w:sz w:val="24"/>
          <w:szCs w:val="24"/>
        </w:rPr>
        <w:t xml:space="preserve"> staff, Parents’ Association, Students’ Council and the Board of Management. </w:t>
      </w:r>
    </w:p>
    <w:p w:rsidR="002C2AF6" w:rsidRPr="002C2AF6" w:rsidRDefault="002C2AF6" w:rsidP="002C2AF6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plan </w:t>
      </w:r>
      <w:r w:rsidRPr="002C2AF6">
        <w:rPr>
          <w:rFonts w:ascii="Georgia" w:hAnsi="Georgia"/>
          <w:sz w:val="24"/>
          <w:szCs w:val="24"/>
        </w:rPr>
        <w:t xml:space="preserve">was </w:t>
      </w:r>
      <w:r>
        <w:rPr>
          <w:rFonts w:ascii="Georgia" w:hAnsi="Georgia"/>
          <w:sz w:val="24"/>
          <w:szCs w:val="24"/>
        </w:rPr>
        <w:t xml:space="preserve">published on the school website, for all members of the school community to access. The </w:t>
      </w:r>
      <w:r w:rsidRPr="002C2AF6">
        <w:rPr>
          <w:rFonts w:ascii="Georgia" w:hAnsi="Georgia"/>
          <w:sz w:val="24"/>
          <w:szCs w:val="24"/>
        </w:rPr>
        <w:t>steps in the plan to produce the School Improvement Plan were as follows:</w:t>
      </w:r>
    </w:p>
    <w:p w:rsidR="002C2AF6" w:rsidRPr="002C2AF6" w:rsidRDefault="002C2AF6" w:rsidP="002C2AF6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2C2AF6">
        <w:rPr>
          <w:rFonts w:ascii="Georgia" w:hAnsi="Georgia"/>
          <w:sz w:val="24"/>
          <w:szCs w:val="24"/>
        </w:rPr>
        <w:t>1. Decide on what was to be</w:t>
      </w:r>
      <w:r>
        <w:rPr>
          <w:rFonts w:ascii="Georgia" w:hAnsi="Georgia"/>
          <w:sz w:val="24"/>
          <w:szCs w:val="24"/>
        </w:rPr>
        <w:t xml:space="preserve"> evaluated.</w:t>
      </w:r>
    </w:p>
    <w:p w:rsidR="002C2AF6" w:rsidRPr="002C2AF6" w:rsidRDefault="002C2AF6" w:rsidP="002C2AF6">
      <w:pPr>
        <w:rPr>
          <w:rFonts w:ascii="Georgia" w:hAnsi="Georgia"/>
          <w:sz w:val="24"/>
          <w:szCs w:val="24"/>
        </w:rPr>
      </w:pPr>
      <w:r w:rsidRPr="002C2AF6">
        <w:rPr>
          <w:rFonts w:ascii="Georgia" w:hAnsi="Georgia"/>
          <w:sz w:val="24"/>
          <w:szCs w:val="24"/>
        </w:rPr>
        <w:t>2. Gather evidence</w:t>
      </w:r>
      <w:r w:rsidR="0061368F">
        <w:rPr>
          <w:rFonts w:ascii="Georgia" w:hAnsi="Georgia"/>
          <w:sz w:val="24"/>
          <w:szCs w:val="24"/>
        </w:rPr>
        <w:t>.</w:t>
      </w:r>
    </w:p>
    <w:p w:rsidR="002C2AF6" w:rsidRPr="002C2AF6" w:rsidRDefault="002C2AF6" w:rsidP="002C2AF6">
      <w:pPr>
        <w:rPr>
          <w:rFonts w:ascii="Georgia" w:hAnsi="Georgia"/>
          <w:sz w:val="24"/>
          <w:szCs w:val="24"/>
        </w:rPr>
      </w:pPr>
      <w:r w:rsidRPr="002C2AF6">
        <w:rPr>
          <w:rFonts w:ascii="Georgia" w:hAnsi="Georgia"/>
          <w:sz w:val="24"/>
          <w:szCs w:val="24"/>
        </w:rPr>
        <w:t>3. Analyse the evidence</w:t>
      </w:r>
      <w:r w:rsidR="0061368F">
        <w:rPr>
          <w:rFonts w:ascii="Georgia" w:hAnsi="Georgia"/>
          <w:sz w:val="24"/>
          <w:szCs w:val="24"/>
        </w:rPr>
        <w:t>.</w:t>
      </w:r>
    </w:p>
    <w:p w:rsidR="002C2AF6" w:rsidRPr="002C2AF6" w:rsidRDefault="002C2AF6" w:rsidP="002C2AF6">
      <w:pPr>
        <w:rPr>
          <w:rFonts w:ascii="Georgia" w:hAnsi="Georgia"/>
          <w:sz w:val="24"/>
          <w:szCs w:val="24"/>
        </w:rPr>
      </w:pPr>
      <w:r w:rsidRPr="002C2AF6">
        <w:rPr>
          <w:rFonts w:ascii="Georgia" w:hAnsi="Georgia"/>
          <w:sz w:val="24"/>
          <w:szCs w:val="24"/>
        </w:rPr>
        <w:t>4. Draw conclusions</w:t>
      </w:r>
      <w:r w:rsidR="0061368F">
        <w:rPr>
          <w:rFonts w:ascii="Georgia" w:hAnsi="Georgia"/>
          <w:sz w:val="24"/>
          <w:szCs w:val="24"/>
        </w:rPr>
        <w:t>.</w:t>
      </w:r>
    </w:p>
    <w:p w:rsidR="002C2AF6" w:rsidRPr="002C2AF6" w:rsidRDefault="002C2AF6" w:rsidP="002C2AF6">
      <w:pPr>
        <w:rPr>
          <w:rFonts w:ascii="Georgia" w:hAnsi="Georgia"/>
          <w:sz w:val="24"/>
          <w:szCs w:val="24"/>
        </w:rPr>
      </w:pPr>
      <w:r w:rsidRPr="002C2AF6">
        <w:rPr>
          <w:rFonts w:ascii="Georgia" w:hAnsi="Georgia"/>
          <w:sz w:val="24"/>
          <w:szCs w:val="24"/>
        </w:rPr>
        <w:t>5. Draw up a report based on the conclusions</w:t>
      </w:r>
      <w:r w:rsidR="0061368F">
        <w:rPr>
          <w:rFonts w:ascii="Georgia" w:hAnsi="Georgia"/>
          <w:sz w:val="24"/>
          <w:szCs w:val="24"/>
        </w:rPr>
        <w:t>.</w:t>
      </w:r>
    </w:p>
    <w:p w:rsidR="002C2AF6" w:rsidRPr="002C2AF6" w:rsidRDefault="002C2AF6" w:rsidP="002C2AF6">
      <w:pPr>
        <w:rPr>
          <w:rFonts w:ascii="Georgia" w:hAnsi="Georgia"/>
          <w:sz w:val="24"/>
          <w:szCs w:val="24"/>
        </w:rPr>
      </w:pPr>
      <w:r w:rsidRPr="002C2AF6">
        <w:rPr>
          <w:rFonts w:ascii="Georgia" w:hAnsi="Georgia"/>
          <w:sz w:val="24"/>
          <w:szCs w:val="24"/>
        </w:rPr>
        <w:t>6. Develop a School Improvement Plan for Literacy</w:t>
      </w:r>
    </w:p>
    <w:p w:rsidR="00C21B1F" w:rsidRDefault="00C21B1F" w:rsidP="002C2AF6">
      <w:pPr>
        <w:rPr>
          <w:rFonts w:ascii="Georgia" w:hAnsi="Georgia"/>
          <w:sz w:val="24"/>
          <w:szCs w:val="24"/>
        </w:rPr>
      </w:pPr>
    </w:p>
    <w:p w:rsidR="00B01A06" w:rsidRDefault="00B01A06" w:rsidP="008A1BFE">
      <w:pPr>
        <w:rPr>
          <w:rFonts w:ascii="Georgia" w:hAnsi="Georgia"/>
          <w:sz w:val="24"/>
          <w:szCs w:val="24"/>
        </w:rPr>
      </w:pPr>
    </w:p>
    <w:p w:rsidR="008A1BFE" w:rsidRDefault="002C2AF6" w:rsidP="008A1BFE">
      <w:pPr>
        <w:rPr>
          <w:rFonts w:ascii="Georgia" w:hAnsi="Georgia"/>
          <w:sz w:val="24"/>
          <w:szCs w:val="24"/>
        </w:rPr>
      </w:pPr>
      <w:r w:rsidRPr="002C2AF6">
        <w:rPr>
          <w:rFonts w:ascii="Georgia" w:hAnsi="Georgia"/>
          <w:sz w:val="24"/>
          <w:szCs w:val="24"/>
        </w:rPr>
        <w:lastRenderedPageBreak/>
        <w:t xml:space="preserve">This is a report on the findings of the </w:t>
      </w:r>
      <w:r w:rsidR="008A1BFE">
        <w:rPr>
          <w:rFonts w:ascii="Georgia" w:hAnsi="Georgia"/>
          <w:sz w:val="24"/>
          <w:szCs w:val="24"/>
        </w:rPr>
        <w:t>evaluation.</w:t>
      </w:r>
    </w:p>
    <w:p w:rsidR="008A1BFE" w:rsidRPr="008A1BFE" w:rsidRDefault="008A1BFE" w:rsidP="008A1BFE">
      <w:pPr>
        <w:rPr>
          <w:rFonts w:ascii="Georgia" w:hAnsi="Georgia"/>
          <w:b/>
          <w:sz w:val="24"/>
          <w:szCs w:val="24"/>
        </w:rPr>
      </w:pPr>
      <w:r w:rsidRPr="008A1BFE">
        <w:rPr>
          <w:rFonts w:ascii="Georgia" w:hAnsi="Georgia"/>
          <w:b/>
          <w:sz w:val="24"/>
          <w:szCs w:val="24"/>
        </w:rPr>
        <w:t>1.2 The School Context</w:t>
      </w:r>
    </w:p>
    <w:p w:rsidR="00C37CB2" w:rsidRDefault="008A1BFE" w:rsidP="00C37CB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t>St Aloysius Secondary School is a</w:t>
      </w:r>
      <w:r w:rsidR="006A3EDA" w:rsidRPr="00C37CB2">
        <w:rPr>
          <w:rFonts w:ascii="Georgia" w:hAnsi="Georgia"/>
          <w:sz w:val="24"/>
          <w:szCs w:val="24"/>
        </w:rPr>
        <w:t xml:space="preserve"> Catholic girls’</w:t>
      </w:r>
      <w:r w:rsidRPr="00C37CB2">
        <w:rPr>
          <w:rFonts w:ascii="Georgia" w:hAnsi="Georgia"/>
          <w:sz w:val="24"/>
          <w:szCs w:val="24"/>
        </w:rPr>
        <w:t xml:space="preserve"> voluntary secondary school founded by the Mercy Order in 1927.</w:t>
      </w:r>
    </w:p>
    <w:p w:rsidR="00C37CB2" w:rsidRDefault="006A3EDA" w:rsidP="00C37CB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t xml:space="preserve">There are currently 281 students enrolled in St Aloysius Secondary School. </w:t>
      </w:r>
    </w:p>
    <w:p w:rsidR="00C37CB2" w:rsidRDefault="006A3EDA" w:rsidP="00B01A0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t>St Aloysius provides a varied and full curriculum, including transition year and Leaving Certificate Vocational Programme.</w:t>
      </w:r>
    </w:p>
    <w:p w:rsidR="00C37CB2" w:rsidRDefault="00061F1B" w:rsidP="00B01A0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t xml:space="preserve">St. Aloysius today, </w:t>
      </w:r>
      <w:r w:rsidR="008A1BFE" w:rsidRPr="00C37CB2">
        <w:rPr>
          <w:rFonts w:ascii="Georgia" w:hAnsi="Georgia"/>
          <w:sz w:val="24"/>
          <w:szCs w:val="24"/>
        </w:rPr>
        <w:t xml:space="preserve">operates under the </w:t>
      </w:r>
      <w:r w:rsidRPr="00C37CB2">
        <w:rPr>
          <w:rFonts w:ascii="Georgia" w:hAnsi="Georgia"/>
          <w:sz w:val="24"/>
          <w:szCs w:val="24"/>
        </w:rPr>
        <w:t>Patronage</w:t>
      </w:r>
      <w:r w:rsidR="008A1BFE" w:rsidRPr="00C37CB2">
        <w:rPr>
          <w:rFonts w:ascii="Georgia" w:hAnsi="Georgia"/>
          <w:sz w:val="24"/>
          <w:szCs w:val="24"/>
        </w:rPr>
        <w:t xml:space="preserve"> of the Catholic Education</w:t>
      </w:r>
      <w:r w:rsidRPr="00C37CB2">
        <w:rPr>
          <w:rFonts w:ascii="Georgia" w:hAnsi="Georgia"/>
          <w:sz w:val="24"/>
          <w:szCs w:val="24"/>
        </w:rPr>
        <w:t>, a</w:t>
      </w:r>
      <w:r w:rsidR="008A1BFE" w:rsidRPr="00C37CB2">
        <w:rPr>
          <w:rFonts w:ascii="Georgia" w:hAnsi="Georgia"/>
          <w:sz w:val="24"/>
          <w:szCs w:val="24"/>
        </w:rPr>
        <w:t xml:space="preserve">n Irish Schools Trust (CEIST). </w:t>
      </w:r>
    </w:p>
    <w:p w:rsidR="00C37CB2" w:rsidRDefault="00061F1B" w:rsidP="00B01A0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t xml:space="preserve">Under the Patron, the Board of Management has charge of the overall management of the school. The Board extends day to day management of the school to the Principal. </w:t>
      </w:r>
    </w:p>
    <w:p w:rsidR="00C37CB2" w:rsidRDefault="00061F1B" w:rsidP="00B01A0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t xml:space="preserve">The principal is supported in the day to day management of the school by the deputy principal and a very effective in school management team, comprised of two assistant principals and six teachers with “special duties”. </w:t>
      </w:r>
    </w:p>
    <w:p w:rsidR="0061368F" w:rsidRDefault="00061F1B" w:rsidP="00B01A0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t xml:space="preserve"> The principal and deputy principal are committed to developing a school community </w:t>
      </w:r>
      <w:r w:rsidR="0061368F" w:rsidRPr="00C37CB2">
        <w:rPr>
          <w:rFonts w:ascii="Georgia" w:hAnsi="Georgia"/>
          <w:sz w:val="24"/>
          <w:szCs w:val="24"/>
        </w:rPr>
        <w:t>loyal to the CEIST Charter honouring our Catholic ethos through the involvement of</w:t>
      </w:r>
      <w:r w:rsidRPr="00C37CB2">
        <w:rPr>
          <w:rFonts w:ascii="Georgia" w:hAnsi="Georgia"/>
          <w:sz w:val="24"/>
          <w:szCs w:val="24"/>
        </w:rPr>
        <w:t xml:space="preserve"> staff, students, parents and the local community in school life. </w:t>
      </w:r>
    </w:p>
    <w:p w:rsidR="00C37CB2" w:rsidRPr="00C37CB2" w:rsidRDefault="00C37CB2" w:rsidP="00B01A0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are 22 teachers on staff and 1 SNA.</w:t>
      </w:r>
    </w:p>
    <w:p w:rsidR="006A3EDA" w:rsidRDefault="006A3EDA" w:rsidP="006A3ED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2. The F</w:t>
      </w:r>
      <w:r w:rsidRPr="006A3EDA">
        <w:rPr>
          <w:rFonts w:ascii="Georgia" w:hAnsi="Georgia"/>
          <w:b/>
          <w:sz w:val="24"/>
          <w:szCs w:val="24"/>
        </w:rPr>
        <w:t>indings</w:t>
      </w:r>
    </w:p>
    <w:p w:rsidR="00AD0F38" w:rsidRPr="00C37CB2" w:rsidRDefault="00AD0F38" w:rsidP="00906523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t xml:space="preserve">A school self-evaluation of teaching and learning in </w:t>
      </w:r>
      <w:r>
        <w:rPr>
          <w:rFonts w:ascii="Georgia" w:hAnsi="Georgia"/>
          <w:sz w:val="24"/>
          <w:szCs w:val="24"/>
        </w:rPr>
        <w:t>St Aloysius</w:t>
      </w:r>
      <w:r w:rsidRPr="00C37CB2">
        <w:rPr>
          <w:rFonts w:ascii="Georgia" w:hAnsi="Georgia"/>
          <w:sz w:val="24"/>
          <w:szCs w:val="24"/>
        </w:rPr>
        <w:t xml:space="preserve"> Secondary School </w:t>
      </w:r>
      <w:r>
        <w:rPr>
          <w:rFonts w:ascii="Georgia" w:hAnsi="Georgia"/>
          <w:sz w:val="24"/>
          <w:szCs w:val="24"/>
        </w:rPr>
        <w:t>Cork</w:t>
      </w:r>
      <w:r w:rsidRPr="00C37CB2">
        <w:rPr>
          <w:rFonts w:ascii="Georgia" w:hAnsi="Georgia"/>
          <w:sz w:val="24"/>
          <w:szCs w:val="24"/>
        </w:rPr>
        <w:t xml:space="preserve"> was undertaken</w:t>
      </w:r>
      <w:r>
        <w:rPr>
          <w:rFonts w:ascii="Georgia" w:hAnsi="Georgia"/>
          <w:sz w:val="24"/>
          <w:szCs w:val="24"/>
        </w:rPr>
        <w:t xml:space="preserve">. During the </w:t>
      </w:r>
      <w:r w:rsidRPr="00C37CB2">
        <w:rPr>
          <w:rFonts w:ascii="Georgia" w:hAnsi="Georgia"/>
          <w:sz w:val="24"/>
          <w:szCs w:val="24"/>
        </w:rPr>
        <w:t xml:space="preserve">evaluation, teaching and learning in the following </w:t>
      </w:r>
      <w:r>
        <w:rPr>
          <w:rFonts w:ascii="Georgia" w:hAnsi="Georgia"/>
          <w:sz w:val="24"/>
          <w:szCs w:val="24"/>
        </w:rPr>
        <w:t xml:space="preserve">area was evaluated: </w:t>
      </w:r>
      <w:r w:rsidRPr="00C37CB2">
        <w:rPr>
          <w:rFonts w:ascii="Georgia" w:hAnsi="Georgia"/>
          <w:sz w:val="24"/>
          <w:szCs w:val="24"/>
          <w:u w:val="single"/>
        </w:rPr>
        <w:t xml:space="preserve">Literacy </w:t>
      </w:r>
      <w:r>
        <w:rPr>
          <w:rFonts w:ascii="Georgia" w:hAnsi="Georgia"/>
          <w:sz w:val="24"/>
          <w:szCs w:val="24"/>
          <w:u w:val="single"/>
        </w:rPr>
        <w:t>and student engagement in reading for pleasure.</w:t>
      </w:r>
    </w:p>
    <w:p w:rsidR="00C37CB2" w:rsidRPr="00C37CB2" w:rsidRDefault="00AD0F38" w:rsidP="00906523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t>This is a report on the findings of the evaluation.</w:t>
      </w:r>
    </w:p>
    <w:p w:rsidR="00C37CB2" w:rsidRPr="00C37CB2" w:rsidRDefault="00C37CB2" w:rsidP="009065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t>The school uses the CAT’s Assessments for incoming 1st Year students.</w:t>
      </w:r>
    </w:p>
    <w:p w:rsidR="00C37CB2" w:rsidRPr="00C37CB2" w:rsidRDefault="00C37CB2" w:rsidP="009065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t>This information is used in conjunction wi</w:t>
      </w:r>
      <w:r>
        <w:rPr>
          <w:rFonts w:ascii="Georgia" w:hAnsi="Georgia"/>
          <w:sz w:val="24"/>
          <w:szCs w:val="24"/>
        </w:rPr>
        <w:t xml:space="preserve">th standardised test scores and </w:t>
      </w:r>
      <w:r w:rsidRPr="00C37CB2">
        <w:rPr>
          <w:rFonts w:ascii="Georgia" w:hAnsi="Georgia"/>
          <w:sz w:val="24"/>
          <w:szCs w:val="24"/>
        </w:rPr>
        <w:t>other information from the source primary schools.</w:t>
      </w:r>
    </w:p>
    <w:p w:rsidR="00C37CB2" w:rsidRPr="00C37CB2" w:rsidRDefault="00C37CB2" w:rsidP="009065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t>Other current initiatives in Literacy include –</w:t>
      </w:r>
    </w:p>
    <w:p w:rsidR="00C37CB2" w:rsidRPr="00C37CB2" w:rsidRDefault="00C37CB2" w:rsidP="00906523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t>Literacy Link Teacher</w:t>
      </w:r>
    </w:p>
    <w:p w:rsidR="00C37CB2" w:rsidRPr="00C37CB2" w:rsidRDefault="00C37CB2" w:rsidP="00906523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t>Literacy Committee</w:t>
      </w:r>
    </w:p>
    <w:p w:rsidR="00C37CB2" w:rsidRPr="00C37CB2" w:rsidRDefault="00C37CB2" w:rsidP="00906523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lastRenderedPageBreak/>
        <w:t xml:space="preserve">Keywords/Spelling Challenge </w:t>
      </w:r>
    </w:p>
    <w:p w:rsidR="00C37CB2" w:rsidRDefault="00C37CB2" w:rsidP="00906523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t>Emphasise correct spellings</w:t>
      </w:r>
    </w:p>
    <w:p w:rsidR="00C37CB2" w:rsidRPr="00C37CB2" w:rsidRDefault="00C37CB2" w:rsidP="00906523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t>Print Rich Environment &amp; Display of students’ work in all classrooms</w:t>
      </w:r>
    </w:p>
    <w:p w:rsidR="00C37CB2" w:rsidRDefault="00C37CB2" w:rsidP="00906523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t xml:space="preserve">Oral Proficiency </w:t>
      </w:r>
    </w:p>
    <w:p w:rsidR="00F91D07" w:rsidRDefault="00F91D07" w:rsidP="00906523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Literacy notice board in the staff work room.</w:t>
      </w:r>
    </w:p>
    <w:p w:rsidR="005E1606" w:rsidRPr="00C37CB2" w:rsidRDefault="005E1606" w:rsidP="00906523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Visits to the theatre, cinema, drama festivals etc.</w:t>
      </w:r>
    </w:p>
    <w:p w:rsidR="00C37CB2" w:rsidRDefault="00C37CB2" w:rsidP="00906523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t>World Book Day/Week</w:t>
      </w:r>
    </w:p>
    <w:p w:rsidR="00C37CB2" w:rsidRDefault="00C37CB2" w:rsidP="00906523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t xml:space="preserve"> One Library Class per week for 1st Years</w:t>
      </w:r>
      <w:r w:rsidR="00F91D07">
        <w:rPr>
          <w:rFonts w:ascii="Georgia" w:hAnsi="Georgia"/>
          <w:sz w:val="24"/>
          <w:szCs w:val="24"/>
        </w:rPr>
        <w:t>.</w:t>
      </w:r>
    </w:p>
    <w:p w:rsidR="00F91D07" w:rsidRPr="00C37CB2" w:rsidRDefault="00F91D07" w:rsidP="00906523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Theatre, cinema, drama events and workshops.</w:t>
      </w:r>
    </w:p>
    <w:p w:rsidR="00AD0F38" w:rsidRPr="00AD0F38" w:rsidRDefault="00C37CB2" w:rsidP="00906523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C37CB2">
        <w:rPr>
          <w:rFonts w:ascii="Georgia" w:hAnsi="Georgia"/>
          <w:sz w:val="24"/>
          <w:szCs w:val="24"/>
        </w:rPr>
        <w:t xml:space="preserve">“Red Read Wall” – Red Notice Board in </w:t>
      </w:r>
      <w:r>
        <w:rPr>
          <w:rFonts w:ascii="Georgia" w:hAnsi="Georgia"/>
          <w:sz w:val="24"/>
          <w:szCs w:val="24"/>
        </w:rPr>
        <w:t>corridors</w:t>
      </w:r>
      <w:r w:rsidRPr="00C37CB2">
        <w:rPr>
          <w:rFonts w:ascii="Georgia" w:hAnsi="Georgia"/>
          <w:sz w:val="24"/>
          <w:szCs w:val="24"/>
        </w:rPr>
        <w:t xml:space="preserve"> covered with student reviews.</w:t>
      </w:r>
    </w:p>
    <w:p w:rsidR="00413D09" w:rsidRDefault="00906523" w:rsidP="00906523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413D09" w:rsidRPr="00413D09">
        <w:rPr>
          <w:rFonts w:ascii="Georgia" w:hAnsi="Georgia"/>
          <w:sz w:val="24"/>
          <w:szCs w:val="24"/>
        </w:rPr>
        <w:t xml:space="preserve">An </w:t>
      </w:r>
      <w:r w:rsidR="00413D09" w:rsidRPr="00906523">
        <w:rPr>
          <w:rFonts w:ascii="Georgia" w:hAnsi="Georgia"/>
          <w:sz w:val="24"/>
          <w:szCs w:val="24"/>
          <w:u w:val="single"/>
        </w:rPr>
        <w:t>Attitudinal Survey</w:t>
      </w:r>
      <w:r w:rsidR="00413D09" w:rsidRPr="00413D09">
        <w:rPr>
          <w:rFonts w:ascii="Georgia" w:hAnsi="Georgia"/>
          <w:sz w:val="24"/>
          <w:szCs w:val="24"/>
        </w:rPr>
        <w:t xml:space="preserve"> was </w:t>
      </w:r>
      <w:r w:rsidR="005E1606">
        <w:rPr>
          <w:rFonts w:ascii="Georgia" w:hAnsi="Georgia"/>
          <w:sz w:val="24"/>
          <w:szCs w:val="24"/>
        </w:rPr>
        <w:t>carried out on</w:t>
      </w:r>
      <w:r w:rsidR="00413D09" w:rsidRPr="00413D09">
        <w:rPr>
          <w:rFonts w:ascii="Georgia" w:hAnsi="Georgia"/>
          <w:sz w:val="24"/>
          <w:szCs w:val="24"/>
        </w:rPr>
        <w:t xml:space="preserve"> all First Years</w:t>
      </w:r>
      <w:r w:rsidR="00AD0F38">
        <w:rPr>
          <w:rFonts w:ascii="Georgia" w:hAnsi="Georgia"/>
          <w:sz w:val="24"/>
          <w:szCs w:val="24"/>
        </w:rPr>
        <w:t>, in September 2013</w:t>
      </w:r>
      <w:r w:rsidR="00413D09" w:rsidRPr="00413D09">
        <w:rPr>
          <w:rFonts w:ascii="Georgia" w:hAnsi="Georgia"/>
          <w:sz w:val="24"/>
          <w:szCs w:val="24"/>
        </w:rPr>
        <w:t>. This returne</w:t>
      </w:r>
      <w:r w:rsidR="00413D09">
        <w:rPr>
          <w:rFonts w:ascii="Georgia" w:hAnsi="Georgia"/>
          <w:sz w:val="24"/>
          <w:szCs w:val="24"/>
        </w:rPr>
        <w:t xml:space="preserve">d </w:t>
      </w:r>
      <w:r w:rsidR="00413D09" w:rsidRPr="00413D09">
        <w:rPr>
          <w:rFonts w:ascii="Georgia" w:hAnsi="Georgia"/>
          <w:sz w:val="24"/>
          <w:szCs w:val="24"/>
        </w:rPr>
        <w:t xml:space="preserve">very valuable information. </w:t>
      </w:r>
    </w:p>
    <w:p w:rsidR="00413D09" w:rsidRDefault="00F91D07" w:rsidP="00F91D0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F91D07">
        <w:rPr>
          <w:rFonts w:ascii="Georgia" w:hAnsi="Georgia"/>
          <w:sz w:val="24"/>
          <w:szCs w:val="24"/>
        </w:rPr>
        <w:t>26% of students read every day, 28% two or three times a week, 12% read once a month, 17% rarely with 5% stating they never read.</w:t>
      </w:r>
    </w:p>
    <w:p w:rsidR="00F91D07" w:rsidRDefault="00F91D07" w:rsidP="00F91D0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69% of pupils enjoy reading, 19% only read when they have to, 7% only read in class, and 5% state they never read.</w:t>
      </w:r>
    </w:p>
    <w:p w:rsidR="00F91D07" w:rsidRDefault="00F91D07" w:rsidP="0090652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Prior to joining our school library, </w:t>
      </w:r>
      <w:r w:rsidR="00413D09" w:rsidRPr="00F91D07">
        <w:rPr>
          <w:rFonts w:ascii="Georgia" w:hAnsi="Georgia"/>
          <w:sz w:val="24"/>
          <w:szCs w:val="24"/>
        </w:rPr>
        <w:t xml:space="preserve">85% of students </w:t>
      </w:r>
      <w:r>
        <w:rPr>
          <w:rFonts w:ascii="Georgia" w:hAnsi="Georgia"/>
          <w:sz w:val="24"/>
          <w:szCs w:val="24"/>
        </w:rPr>
        <w:t xml:space="preserve">had, at some stage, been a member of a library with 75% having attended a Primary School which had a library. </w:t>
      </w:r>
    </w:p>
    <w:p w:rsidR="00AD0F38" w:rsidRPr="00F91D07" w:rsidRDefault="00AD0F38" w:rsidP="00F91D0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F91D07">
        <w:rPr>
          <w:rFonts w:ascii="Georgia" w:hAnsi="Georgia"/>
          <w:sz w:val="24"/>
          <w:szCs w:val="24"/>
        </w:rPr>
        <w:t xml:space="preserve">74% of respondents consider themselves </w:t>
      </w:r>
      <w:r w:rsidR="00F91D07">
        <w:rPr>
          <w:rFonts w:ascii="Georgia" w:hAnsi="Georgia"/>
          <w:sz w:val="24"/>
          <w:szCs w:val="24"/>
        </w:rPr>
        <w:t>“</w:t>
      </w:r>
      <w:r w:rsidRPr="00F91D07">
        <w:rPr>
          <w:rFonts w:ascii="Georgia" w:hAnsi="Georgia"/>
          <w:sz w:val="24"/>
          <w:szCs w:val="24"/>
        </w:rPr>
        <w:t>good at reading</w:t>
      </w:r>
      <w:r w:rsidR="00F91D07">
        <w:rPr>
          <w:rFonts w:ascii="Georgia" w:hAnsi="Georgia"/>
          <w:sz w:val="24"/>
          <w:szCs w:val="24"/>
        </w:rPr>
        <w:t>” and in response to the final question 64% believe that “being a good reader” is an important skill</w:t>
      </w:r>
      <w:r w:rsidRPr="00F91D07">
        <w:rPr>
          <w:rFonts w:ascii="Georgia" w:hAnsi="Georgia"/>
          <w:sz w:val="24"/>
          <w:szCs w:val="24"/>
        </w:rPr>
        <w:t>.</w:t>
      </w:r>
    </w:p>
    <w:p w:rsidR="00AD0F38" w:rsidRDefault="00413D09" w:rsidP="00906523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AD0F38">
        <w:rPr>
          <w:rFonts w:ascii="Georgia" w:hAnsi="Georgia"/>
          <w:sz w:val="24"/>
          <w:szCs w:val="24"/>
        </w:rPr>
        <w:t xml:space="preserve">These results flagged </w:t>
      </w:r>
      <w:r w:rsidR="00AD0F38" w:rsidRPr="00AD0F38">
        <w:rPr>
          <w:rFonts w:ascii="Georgia" w:hAnsi="Georgia"/>
          <w:sz w:val="24"/>
          <w:szCs w:val="24"/>
        </w:rPr>
        <w:t>the following findings:</w:t>
      </w:r>
    </w:p>
    <w:p w:rsidR="00AD0F38" w:rsidRDefault="00E628F6" w:rsidP="009065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majority of students are positively disposed to reading.</w:t>
      </w:r>
    </w:p>
    <w:p w:rsidR="00E628F6" w:rsidRDefault="00413D09" w:rsidP="009065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628F6">
        <w:rPr>
          <w:rFonts w:ascii="Georgia" w:hAnsi="Georgia"/>
          <w:sz w:val="24"/>
          <w:szCs w:val="24"/>
        </w:rPr>
        <w:t xml:space="preserve">The high percentage of students who </w:t>
      </w:r>
      <w:r w:rsidR="00E628F6">
        <w:rPr>
          <w:rFonts w:ascii="Georgia" w:hAnsi="Georgia"/>
          <w:sz w:val="24"/>
          <w:szCs w:val="24"/>
        </w:rPr>
        <w:t>enjoy reading</w:t>
      </w:r>
      <w:r w:rsidRPr="00E628F6">
        <w:rPr>
          <w:rFonts w:ascii="Georgia" w:hAnsi="Georgia"/>
          <w:sz w:val="24"/>
          <w:szCs w:val="24"/>
        </w:rPr>
        <w:t xml:space="preserve"> suggests that majority of students would like to be in a position whereby they would be able to read successfully in front </w:t>
      </w:r>
      <w:r w:rsidR="00E628F6">
        <w:rPr>
          <w:rFonts w:ascii="Georgia" w:hAnsi="Georgia"/>
          <w:sz w:val="24"/>
          <w:szCs w:val="24"/>
        </w:rPr>
        <w:t>of their peers.</w:t>
      </w:r>
    </w:p>
    <w:p w:rsidR="00E628F6" w:rsidRDefault="00E628F6" w:rsidP="0090652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number of students who never read is considerably low and with literacy initiatives across the subject range may decrease over the duration of the academic year if targeted. </w:t>
      </w:r>
    </w:p>
    <w:p w:rsidR="00E628F6" w:rsidRDefault="00906523" w:rsidP="00906523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2. </w:t>
      </w:r>
      <w:r w:rsidR="00E628F6">
        <w:rPr>
          <w:rFonts w:ascii="Georgia" w:hAnsi="Georgia"/>
          <w:sz w:val="24"/>
          <w:szCs w:val="24"/>
        </w:rPr>
        <w:t xml:space="preserve">Teachers were given a </w:t>
      </w:r>
      <w:r>
        <w:rPr>
          <w:rFonts w:ascii="Georgia" w:hAnsi="Georgia"/>
          <w:sz w:val="24"/>
          <w:szCs w:val="24"/>
        </w:rPr>
        <w:t>published</w:t>
      </w:r>
      <w:r w:rsidR="00E628F6">
        <w:rPr>
          <w:rFonts w:ascii="Georgia" w:hAnsi="Georgia"/>
          <w:sz w:val="24"/>
          <w:szCs w:val="24"/>
        </w:rPr>
        <w:t xml:space="preserve"> </w:t>
      </w:r>
      <w:r w:rsidR="00E628F6" w:rsidRPr="00906523">
        <w:rPr>
          <w:rFonts w:ascii="Georgia" w:hAnsi="Georgia"/>
          <w:sz w:val="24"/>
          <w:szCs w:val="24"/>
          <w:u w:val="single"/>
        </w:rPr>
        <w:t>Literacy card</w:t>
      </w:r>
      <w:r w:rsidR="00E628F6">
        <w:rPr>
          <w:rFonts w:ascii="Georgia" w:hAnsi="Georgia"/>
          <w:sz w:val="24"/>
          <w:szCs w:val="24"/>
        </w:rPr>
        <w:t xml:space="preserve">, which include reference to commonly misspelt words, common grammatical errors and </w:t>
      </w:r>
      <w:r w:rsidR="00E628F6" w:rsidRPr="00E628F6">
        <w:rPr>
          <w:rFonts w:ascii="Georgia" w:hAnsi="Georgia"/>
          <w:sz w:val="24"/>
          <w:szCs w:val="24"/>
        </w:rPr>
        <w:t>ex</w:t>
      </w:r>
      <w:r w:rsidR="00E628F6">
        <w:rPr>
          <w:rFonts w:ascii="Georgia" w:hAnsi="Georgia"/>
          <w:sz w:val="24"/>
          <w:szCs w:val="24"/>
        </w:rPr>
        <w:t>plain 26 English language words which are often misused.</w:t>
      </w:r>
      <w:r w:rsidR="00E628F6" w:rsidRPr="00E628F6">
        <w:rPr>
          <w:rFonts w:ascii="Georgia" w:hAnsi="Georgia"/>
          <w:sz w:val="24"/>
          <w:szCs w:val="24"/>
        </w:rPr>
        <w:t xml:space="preserve"> The </w:t>
      </w:r>
      <w:r w:rsidR="00E628F6">
        <w:rPr>
          <w:rFonts w:ascii="Georgia" w:hAnsi="Georgia"/>
          <w:sz w:val="24"/>
          <w:szCs w:val="24"/>
        </w:rPr>
        <w:t>Literacy Card chosen was</w:t>
      </w:r>
      <w:r w:rsidR="00E628F6" w:rsidRPr="00E628F6">
        <w:rPr>
          <w:rFonts w:ascii="Georgia" w:hAnsi="Georgia"/>
          <w:sz w:val="24"/>
          <w:szCs w:val="24"/>
        </w:rPr>
        <w:t xml:space="preserve"> deemed to be transferable</w:t>
      </w:r>
      <w:r w:rsidR="00E628F6">
        <w:rPr>
          <w:rFonts w:ascii="Georgia" w:hAnsi="Georgia"/>
          <w:sz w:val="24"/>
          <w:szCs w:val="24"/>
        </w:rPr>
        <w:t xml:space="preserve"> across all subject departments. </w:t>
      </w:r>
      <w:r w:rsidR="00E628F6" w:rsidRPr="00E628F6">
        <w:rPr>
          <w:rFonts w:ascii="Georgia" w:hAnsi="Georgia"/>
          <w:sz w:val="24"/>
          <w:szCs w:val="24"/>
        </w:rPr>
        <w:t xml:space="preserve"> </w:t>
      </w:r>
    </w:p>
    <w:p w:rsidR="005E1606" w:rsidRDefault="005E1606" w:rsidP="00906523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The up</w:t>
      </w:r>
      <w:r w:rsidR="002D1340">
        <w:rPr>
          <w:rFonts w:ascii="Georgia" w:hAnsi="Georgia"/>
          <w:sz w:val="24"/>
          <w:szCs w:val="24"/>
        </w:rPr>
        <w:t>dating of the school library- an on-going project which began in 2012.</w:t>
      </w:r>
    </w:p>
    <w:p w:rsidR="00E628F6" w:rsidRDefault="002D1340" w:rsidP="00906523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906523">
        <w:rPr>
          <w:rFonts w:ascii="Georgia" w:hAnsi="Georgia"/>
          <w:sz w:val="24"/>
          <w:szCs w:val="24"/>
        </w:rPr>
        <w:t xml:space="preserve">. </w:t>
      </w:r>
      <w:r w:rsidR="00E628F6">
        <w:rPr>
          <w:rFonts w:ascii="Georgia" w:hAnsi="Georgia"/>
          <w:sz w:val="24"/>
          <w:szCs w:val="24"/>
        </w:rPr>
        <w:t>Some subject teachers have publicly displayed important</w:t>
      </w:r>
      <w:r w:rsidR="00906523">
        <w:rPr>
          <w:rFonts w:ascii="Georgia" w:hAnsi="Georgia"/>
          <w:sz w:val="24"/>
          <w:szCs w:val="24"/>
        </w:rPr>
        <w:t xml:space="preserve"> </w:t>
      </w:r>
      <w:r w:rsidR="00906523" w:rsidRPr="00906523">
        <w:rPr>
          <w:rFonts w:ascii="Georgia" w:hAnsi="Georgia"/>
          <w:sz w:val="24"/>
          <w:szCs w:val="24"/>
          <w:u w:val="single"/>
        </w:rPr>
        <w:t>assessment question</w:t>
      </w:r>
      <w:r w:rsidR="00E628F6" w:rsidRPr="00906523">
        <w:rPr>
          <w:rFonts w:ascii="Georgia" w:hAnsi="Georgia"/>
          <w:sz w:val="24"/>
          <w:szCs w:val="24"/>
          <w:u w:val="single"/>
        </w:rPr>
        <w:t xml:space="preserve"> terms</w:t>
      </w:r>
      <w:r w:rsidR="00906523" w:rsidRPr="00906523">
        <w:rPr>
          <w:rFonts w:ascii="Georgia" w:hAnsi="Georgia"/>
          <w:sz w:val="24"/>
          <w:szCs w:val="24"/>
          <w:u w:val="single"/>
        </w:rPr>
        <w:t>,</w:t>
      </w:r>
      <w:r w:rsidR="00E628F6">
        <w:rPr>
          <w:rFonts w:ascii="Georgia" w:hAnsi="Georgia"/>
          <w:sz w:val="24"/>
          <w:szCs w:val="24"/>
        </w:rPr>
        <w:t xml:space="preserve"> commonly used in their subject area </w:t>
      </w:r>
      <w:r w:rsidR="00906523">
        <w:rPr>
          <w:rFonts w:ascii="Georgia" w:hAnsi="Georgia"/>
          <w:sz w:val="24"/>
          <w:szCs w:val="24"/>
        </w:rPr>
        <w:t xml:space="preserve">attempting to improve the student’s </w:t>
      </w:r>
      <w:r w:rsidR="00E628F6" w:rsidRPr="00E628F6">
        <w:rPr>
          <w:rFonts w:ascii="Georgia" w:hAnsi="Georgia"/>
          <w:sz w:val="24"/>
          <w:szCs w:val="24"/>
        </w:rPr>
        <w:t xml:space="preserve">understanding </w:t>
      </w:r>
      <w:r w:rsidR="00906523">
        <w:rPr>
          <w:rFonts w:ascii="Georgia" w:hAnsi="Georgia"/>
          <w:sz w:val="24"/>
          <w:szCs w:val="24"/>
        </w:rPr>
        <w:t xml:space="preserve">of </w:t>
      </w:r>
      <w:r w:rsidR="00E628F6" w:rsidRPr="00E628F6">
        <w:rPr>
          <w:rFonts w:ascii="Georgia" w:hAnsi="Georgia"/>
          <w:sz w:val="24"/>
          <w:szCs w:val="24"/>
        </w:rPr>
        <w:t xml:space="preserve">assessment questions. </w:t>
      </w:r>
    </w:p>
    <w:p w:rsidR="00906523" w:rsidRDefault="002D1340" w:rsidP="00906523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906523">
        <w:rPr>
          <w:rFonts w:ascii="Georgia" w:hAnsi="Georgia"/>
          <w:sz w:val="24"/>
          <w:szCs w:val="24"/>
        </w:rPr>
        <w:t xml:space="preserve">. An </w:t>
      </w:r>
      <w:r w:rsidR="00906523" w:rsidRPr="00906523">
        <w:rPr>
          <w:rFonts w:ascii="Georgia" w:hAnsi="Georgia"/>
          <w:sz w:val="24"/>
          <w:szCs w:val="24"/>
          <w:u w:val="single"/>
        </w:rPr>
        <w:t>analysis of Junior Certificate and Leaving Certificate State Exam Results</w:t>
      </w:r>
      <w:r w:rsidR="00906523">
        <w:rPr>
          <w:rFonts w:ascii="Georgia" w:hAnsi="Georgia"/>
          <w:sz w:val="24"/>
          <w:szCs w:val="24"/>
        </w:rPr>
        <w:t xml:space="preserve"> has been undertaken</w:t>
      </w:r>
      <w:r w:rsidR="00906523" w:rsidRPr="00906523">
        <w:rPr>
          <w:rFonts w:ascii="Georgia" w:hAnsi="Georgia"/>
          <w:sz w:val="24"/>
          <w:szCs w:val="24"/>
        </w:rPr>
        <w:t>. The number of students participat</w:t>
      </w:r>
      <w:r w:rsidR="00906523">
        <w:rPr>
          <w:rFonts w:ascii="Georgia" w:hAnsi="Georgia"/>
          <w:sz w:val="24"/>
          <w:szCs w:val="24"/>
        </w:rPr>
        <w:t xml:space="preserve">ing at Higher Level English at </w:t>
      </w:r>
      <w:r w:rsidR="00906523" w:rsidRPr="00906523">
        <w:rPr>
          <w:rFonts w:ascii="Georgia" w:hAnsi="Georgia"/>
          <w:sz w:val="24"/>
          <w:szCs w:val="24"/>
        </w:rPr>
        <w:t>Junior and Leaving Cert Level continues to</w:t>
      </w:r>
      <w:r w:rsidR="0090652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be above</w:t>
      </w:r>
      <w:r w:rsidR="00906523">
        <w:rPr>
          <w:rFonts w:ascii="Georgia" w:hAnsi="Georgia"/>
          <w:sz w:val="24"/>
          <w:szCs w:val="24"/>
        </w:rPr>
        <w:t xml:space="preserve"> the national averages, whilst</w:t>
      </w:r>
      <w:r w:rsidR="00906523" w:rsidRPr="00906523">
        <w:rPr>
          <w:rFonts w:ascii="Georgia" w:hAnsi="Georgia"/>
          <w:sz w:val="24"/>
          <w:szCs w:val="24"/>
        </w:rPr>
        <w:t xml:space="preserve"> the attainment rates continue to mat</w:t>
      </w:r>
      <w:r w:rsidR="00906523">
        <w:rPr>
          <w:rFonts w:ascii="Georgia" w:hAnsi="Georgia"/>
          <w:sz w:val="24"/>
          <w:szCs w:val="24"/>
        </w:rPr>
        <w:t xml:space="preserve">ch the national averages. This </w:t>
      </w:r>
      <w:r w:rsidR="00906523" w:rsidRPr="00906523">
        <w:rPr>
          <w:rFonts w:ascii="Georgia" w:hAnsi="Georgia"/>
          <w:sz w:val="24"/>
          <w:szCs w:val="24"/>
        </w:rPr>
        <w:t>reflects a very strong culture of English teache</w:t>
      </w:r>
      <w:r w:rsidR="00906523">
        <w:rPr>
          <w:rFonts w:ascii="Georgia" w:hAnsi="Georgia"/>
          <w:sz w:val="24"/>
          <w:szCs w:val="24"/>
        </w:rPr>
        <w:t xml:space="preserve">rs promoting the maximum </w:t>
      </w:r>
      <w:r w:rsidR="00906523" w:rsidRPr="00906523">
        <w:rPr>
          <w:rFonts w:ascii="Georgia" w:hAnsi="Georgia"/>
          <w:sz w:val="24"/>
          <w:szCs w:val="24"/>
        </w:rPr>
        <w:t>levels for their students, and students end</w:t>
      </w:r>
      <w:r w:rsidR="00906523">
        <w:rPr>
          <w:rFonts w:ascii="Georgia" w:hAnsi="Georgia"/>
          <w:sz w:val="24"/>
          <w:szCs w:val="24"/>
        </w:rPr>
        <w:t xml:space="preserve">eavouring to promote their own </w:t>
      </w:r>
      <w:r w:rsidR="00906523" w:rsidRPr="00906523">
        <w:rPr>
          <w:rFonts w:ascii="Georgia" w:hAnsi="Georgia"/>
          <w:sz w:val="24"/>
          <w:szCs w:val="24"/>
        </w:rPr>
        <w:t>Literacy Skills to their own maximum level.</w:t>
      </w:r>
    </w:p>
    <w:p w:rsidR="00906523" w:rsidRDefault="002D1340" w:rsidP="00906523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906523">
        <w:rPr>
          <w:rFonts w:ascii="Georgia" w:hAnsi="Georgia"/>
          <w:sz w:val="24"/>
          <w:szCs w:val="24"/>
        </w:rPr>
        <w:t xml:space="preserve">. </w:t>
      </w:r>
      <w:r w:rsidR="00021BA6">
        <w:rPr>
          <w:rFonts w:ascii="Georgia" w:hAnsi="Georgia"/>
          <w:sz w:val="24"/>
          <w:szCs w:val="24"/>
          <w:u w:val="single"/>
        </w:rPr>
        <w:t>D</w:t>
      </w:r>
      <w:r w:rsidR="00906523" w:rsidRPr="00906523">
        <w:rPr>
          <w:rFonts w:ascii="Georgia" w:hAnsi="Georgia"/>
          <w:sz w:val="24"/>
          <w:szCs w:val="24"/>
          <w:u w:val="single"/>
        </w:rPr>
        <w:t>ebating</w:t>
      </w:r>
      <w:r w:rsidR="00906523" w:rsidRPr="00906523">
        <w:rPr>
          <w:rFonts w:ascii="Georgia" w:hAnsi="Georgia"/>
          <w:sz w:val="24"/>
          <w:szCs w:val="24"/>
        </w:rPr>
        <w:t xml:space="preserve"> </w:t>
      </w:r>
      <w:r w:rsidR="00021BA6">
        <w:rPr>
          <w:rFonts w:ascii="Georgia" w:hAnsi="Georgia"/>
          <w:sz w:val="24"/>
          <w:szCs w:val="24"/>
        </w:rPr>
        <w:t xml:space="preserve">is a feature </w:t>
      </w:r>
      <w:r w:rsidR="00906523" w:rsidRPr="00906523">
        <w:rPr>
          <w:rFonts w:ascii="Georgia" w:hAnsi="Georgia"/>
          <w:sz w:val="24"/>
          <w:szCs w:val="24"/>
        </w:rPr>
        <w:t>in the sc</w:t>
      </w:r>
      <w:r w:rsidR="00906523">
        <w:rPr>
          <w:rFonts w:ascii="Georgia" w:hAnsi="Georgia"/>
          <w:sz w:val="24"/>
          <w:szCs w:val="24"/>
        </w:rPr>
        <w:t xml:space="preserve">hool, with the school annually </w:t>
      </w:r>
      <w:r w:rsidR="00906523" w:rsidRPr="00906523">
        <w:rPr>
          <w:rFonts w:ascii="Georgia" w:hAnsi="Georgia"/>
          <w:sz w:val="24"/>
          <w:szCs w:val="24"/>
        </w:rPr>
        <w:t xml:space="preserve">entering the </w:t>
      </w:r>
      <w:r w:rsidR="00906523">
        <w:rPr>
          <w:rFonts w:ascii="Georgia" w:hAnsi="Georgia"/>
          <w:sz w:val="24"/>
          <w:szCs w:val="24"/>
        </w:rPr>
        <w:t xml:space="preserve">various local and national debates. All students at both junior and senior level are </w:t>
      </w:r>
      <w:r w:rsidR="00906523" w:rsidRPr="00906523">
        <w:rPr>
          <w:rFonts w:ascii="Georgia" w:hAnsi="Georgia"/>
          <w:sz w:val="24"/>
          <w:szCs w:val="24"/>
        </w:rPr>
        <w:t>encouraged to participate</w:t>
      </w:r>
      <w:r w:rsidR="00906523">
        <w:rPr>
          <w:rFonts w:ascii="Georgia" w:hAnsi="Georgia"/>
          <w:sz w:val="24"/>
          <w:szCs w:val="24"/>
        </w:rPr>
        <w:t>.</w:t>
      </w:r>
    </w:p>
    <w:p w:rsidR="00906523" w:rsidRDefault="002D1340" w:rsidP="00906523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="00906523">
        <w:rPr>
          <w:rFonts w:ascii="Georgia" w:hAnsi="Georgia"/>
          <w:sz w:val="24"/>
          <w:szCs w:val="24"/>
        </w:rPr>
        <w:t xml:space="preserve">. </w:t>
      </w:r>
      <w:r w:rsidR="00906523" w:rsidRPr="00021BA6">
        <w:rPr>
          <w:rFonts w:ascii="Georgia" w:hAnsi="Georgia"/>
          <w:sz w:val="24"/>
          <w:szCs w:val="24"/>
          <w:u w:val="single"/>
        </w:rPr>
        <w:t>Student Council members’</w:t>
      </w:r>
      <w:r w:rsidR="00906523">
        <w:rPr>
          <w:rFonts w:ascii="Georgia" w:hAnsi="Georgia"/>
          <w:sz w:val="24"/>
          <w:szCs w:val="24"/>
        </w:rPr>
        <w:t xml:space="preserve"> availed of opportunities to address the Parent’s Association</w:t>
      </w:r>
      <w:r w:rsidR="00021BA6">
        <w:rPr>
          <w:rFonts w:ascii="Georgia" w:hAnsi="Georgia"/>
          <w:sz w:val="24"/>
          <w:szCs w:val="24"/>
        </w:rPr>
        <w:t>, Board of M</w:t>
      </w:r>
      <w:r w:rsidR="00906523">
        <w:rPr>
          <w:rFonts w:ascii="Georgia" w:hAnsi="Georgia"/>
          <w:sz w:val="24"/>
          <w:szCs w:val="24"/>
        </w:rPr>
        <w:t xml:space="preserve">anagement and public representatives at school events. </w:t>
      </w:r>
      <w:r w:rsidR="00021BA6">
        <w:rPr>
          <w:rFonts w:ascii="Georgia" w:hAnsi="Georgia"/>
          <w:sz w:val="24"/>
          <w:szCs w:val="24"/>
        </w:rPr>
        <w:t xml:space="preserve">These opportunities were available to all Student Council members’, the mentor teacher encouraged a variety of members who had not previously address the above list school partners to do so. </w:t>
      </w:r>
    </w:p>
    <w:p w:rsidR="002D1340" w:rsidRPr="00E628F6" w:rsidRDefault="002D1340" w:rsidP="00906523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 At year group assemblies, students are encouraged to report on any relevant activities or events they may have attended in their respective year group.</w:t>
      </w:r>
    </w:p>
    <w:p w:rsidR="002B231E" w:rsidRPr="00C37CB2" w:rsidRDefault="002B231E" w:rsidP="00C37CB2">
      <w:pPr>
        <w:rPr>
          <w:rFonts w:ascii="Georgia" w:hAnsi="Georgia"/>
          <w:b/>
          <w:sz w:val="24"/>
          <w:szCs w:val="24"/>
        </w:rPr>
      </w:pPr>
      <w:r w:rsidRPr="00C37CB2">
        <w:rPr>
          <w:rFonts w:ascii="Georgia" w:hAnsi="Georgia"/>
          <w:b/>
          <w:sz w:val="24"/>
          <w:szCs w:val="24"/>
        </w:rPr>
        <w:t>3. Progress made on previously-identified targets improvement targets.</w:t>
      </w:r>
    </w:p>
    <w:p w:rsidR="002B231E" w:rsidRPr="002B231E" w:rsidRDefault="00021BA6" w:rsidP="00021BA6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021BA6">
        <w:rPr>
          <w:rFonts w:ascii="Georgia" w:hAnsi="Georgia"/>
          <w:b/>
          <w:sz w:val="24"/>
          <w:szCs w:val="24"/>
        </w:rPr>
        <w:t>Not Applicable for Year One as SIP not in place yet.</w:t>
      </w:r>
      <w:r w:rsidRPr="00021BA6">
        <w:rPr>
          <w:rFonts w:ascii="Georgia" w:hAnsi="Georgia"/>
          <w:b/>
          <w:sz w:val="24"/>
          <w:szCs w:val="24"/>
        </w:rPr>
        <w:cr/>
      </w:r>
    </w:p>
    <w:p w:rsidR="002B231E" w:rsidRPr="002B231E" w:rsidRDefault="002B231E" w:rsidP="006A3EDA">
      <w:pPr>
        <w:rPr>
          <w:rFonts w:ascii="Georgia" w:hAnsi="Georgia"/>
          <w:b/>
          <w:sz w:val="24"/>
          <w:szCs w:val="24"/>
        </w:rPr>
      </w:pPr>
      <w:r w:rsidRPr="002B231E">
        <w:rPr>
          <w:rFonts w:ascii="Georgia" w:hAnsi="Georgia"/>
          <w:b/>
          <w:sz w:val="24"/>
          <w:szCs w:val="24"/>
        </w:rPr>
        <w:t>4. Summary of school self-evaluation findings.</w:t>
      </w:r>
    </w:p>
    <w:p w:rsidR="002B231E" w:rsidRPr="00021BA6" w:rsidRDefault="002B231E" w:rsidP="006A3EDA">
      <w:pPr>
        <w:rPr>
          <w:rFonts w:ascii="Georgia" w:hAnsi="Georgia"/>
          <w:sz w:val="24"/>
          <w:szCs w:val="24"/>
          <w:u w:val="single"/>
        </w:rPr>
      </w:pPr>
      <w:r w:rsidRPr="00021BA6">
        <w:rPr>
          <w:rFonts w:ascii="Georgia" w:hAnsi="Georgia"/>
          <w:sz w:val="24"/>
          <w:szCs w:val="24"/>
          <w:u w:val="single"/>
        </w:rPr>
        <w:t>4.1 Our school has strengths in the following areas:</w:t>
      </w:r>
    </w:p>
    <w:p w:rsidR="00021BA6" w:rsidRPr="00021BA6" w:rsidRDefault="00021BA6" w:rsidP="00021B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21BA6">
        <w:rPr>
          <w:rFonts w:ascii="Georgia" w:hAnsi="Georgia"/>
          <w:sz w:val="24"/>
          <w:szCs w:val="24"/>
        </w:rPr>
        <w:lastRenderedPageBreak/>
        <w:t>Very dedicated and motivated teaching staff willing to promote Literacy across all subject departments using a varied number and mix of strategies.</w:t>
      </w:r>
    </w:p>
    <w:p w:rsidR="00021BA6" w:rsidRDefault="00021BA6" w:rsidP="00021B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21BA6">
        <w:rPr>
          <w:rFonts w:ascii="Georgia" w:hAnsi="Georgia"/>
          <w:sz w:val="24"/>
          <w:szCs w:val="24"/>
        </w:rPr>
        <w:t>A very positive and ambitious student cohort who are willing to embrace active methodologies in the pursuit of improving their Literacy Skills.</w:t>
      </w:r>
    </w:p>
    <w:p w:rsidR="00021BA6" w:rsidRPr="00021BA6" w:rsidRDefault="00021BA6" w:rsidP="00021B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21BA6">
        <w:rPr>
          <w:rFonts w:ascii="Georgia" w:hAnsi="Georgia"/>
          <w:sz w:val="24"/>
          <w:szCs w:val="24"/>
        </w:rPr>
        <w:t xml:space="preserve">Extremely engaged and supportive parents who are very </w:t>
      </w:r>
      <w:r>
        <w:rPr>
          <w:rFonts w:ascii="Georgia" w:hAnsi="Georgia"/>
          <w:sz w:val="24"/>
          <w:szCs w:val="24"/>
        </w:rPr>
        <w:t xml:space="preserve">trusting of the school </w:t>
      </w:r>
      <w:r w:rsidRPr="00021BA6">
        <w:rPr>
          <w:rFonts w:ascii="Georgia" w:hAnsi="Georgia"/>
          <w:sz w:val="24"/>
          <w:szCs w:val="24"/>
        </w:rPr>
        <w:t>to improve their children’s Literacy and general attainment.</w:t>
      </w:r>
    </w:p>
    <w:p w:rsidR="00021BA6" w:rsidRPr="00021BA6" w:rsidRDefault="00021BA6" w:rsidP="00021B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21BA6">
        <w:rPr>
          <w:rFonts w:ascii="Georgia" w:hAnsi="Georgia"/>
          <w:sz w:val="24"/>
          <w:szCs w:val="24"/>
        </w:rPr>
        <w:t>Dedicated Literacy Link</w:t>
      </w:r>
      <w:r>
        <w:rPr>
          <w:rFonts w:ascii="Georgia" w:hAnsi="Georgia"/>
          <w:sz w:val="24"/>
          <w:szCs w:val="24"/>
        </w:rPr>
        <w:t xml:space="preserve"> Teacher and Literacy Committee.</w:t>
      </w:r>
    </w:p>
    <w:p w:rsidR="002B231E" w:rsidRDefault="002B231E" w:rsidP="006A3EDA">
      <w:pPr>
        <w:rPr>
          <w:rFonts w:ascii="Georgia" w:hAnsi="Georgia"/>
          <w:sz w:val="24"/>
          <w:szCs w:val="24"/>
          <w:u w:val="single"/>
        </w:rPr>
      </w:pPr>
      <w:r w:rsidRPr="00021BA6">
        <w:rPr>
          <w:rFonts w:ascii="Georgia" w:hAnsi="Georgia"/>
          <w:sz w:val="24"/>
          <w:szCs w:val="24"/>
          <w:u w:val="single"/>
        </w:rPr>
        <w:t>4.2 The following areas are prioritised for improvement:</w:t>
      </w:r>
      <w:r w:rsidR="00021BA6">
        <w:rPr>
          <w:rFonts w:ascii="Georgia" w:hAnsi="Georgia"/>
          <w:sz w:val="24"/>
          <w:szCs w:val="24"/>
          <w:u w:val="single"/>
        </w:rPr>
        <w:t xml:space="preserve"> </w:t>
      </w:r>
    </w:p>
    <w:p w:rsidR="00021BA6" w:rsidRPr="00021BA6" w:rsidRDefault="00021BA6" w:rsidP="00021BA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21BA6">
        <w:rPr>
          <w:rFonts w:ascii="Georgia" w:hAnsi="Georgia"/>
          <w:sz w:val="24"/>
          <w:szCs w:val="24"/>
        </w:rPr>
        <w:t>Understanding of Keywords across all subject departments.</w:t>
      </w:r>
    </w:p>
    <w:p w:rsidR="00021BA6" w:rsidRPr="00021BA6" w:rsidRDefault="00021BA6" w:rsidP="00021BA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21BA6">
        <w:rPr>
          <w:rFonts w:ascii="Georgia" w:hAnsi="Georgia"/>
          <w:sz w:val="24"/>
          <w:szCs w:val="24"/>
        </w:rPr>
        <w:t>The number of students reading for pleasure and for information.</w:t>
      </w:r>
    </w:p>
    <w:p w:rsidR="00021BA6" w:rsidRDefault="00021BA6" w:rsidP="006A3ED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21BA6">
        <w:rPr>
          <w:rFonts w:ascii="Georgia" w:hAnsi="Georgia"/>
          <w:sz w:val="24"/>
          <w:szCs w:val="24"/>
        </w:rPr>
        <w:t>Correct mechanics of writing/spellings across all subject areas.</w:t>
      </w:r>
    </w:p>
    <w:p w:rsidR="002B231E" w:rsidRDefault="002B231E" w:rsidP="006A3E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4.3 The following legislative and regulatory requirements need to be addressed:</w:t>
      </w:r>
    </w:p>
    <w:p w:rsidR="0061368F" w:rsidRDefault="0061368F" w:rsidP="0061368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Development of a whole school guidance plan.</w:t>
      </w:r>
    </w:p>
    <w:p w:rsidR="0061368F" w:rsidRDefault="0061368F" w:rsidP="0061368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Written attendance and participation strategy.</w:t>
      </w:r>
    </w:p>
    <w:p w:rsidR="0061368F" w:rsidRDefault="0061368F" w:rsidP="0061368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Data protection policy.</w:t>
      </w:r>
    </w:p>
    <w:p w:rsidR="0061368F" w:rsidRDefault="0061368F" w:rsidP="0061368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Special education needs policy.</w:t>
      </w:r>
    </w:p>
    <w:p w:rsidR="0061368F" w:rsidRDefault="0061368F" w:rsidP="0061368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Substance use policy.</w:t>
      </w:r>
    </w:p>
    <w:p w:rsidR="0061368F" w:rsidRPr="0061368F" w:rsidRDefault="0061368F" w:rsidP="0061368F">
      <w:pPr>
        <w:pStyle w:val="ListParagraph"/>
        <w:rPr>
          <w:rFonts w:ascii="Georgia" w:hAnsi="Georgia"/>
          <w:sz w:val="24"/>
          <w:szCs w:val="24"/>
        </w:rPr>
      </w:pPr>
    </w:p>
    <w:p w:rsidR="006A3EDA" w:rsidRDefault="006A3EDA" w:rsidP="008A1BFE">
      <w:pPr>
        <w:rPr>
          <w:rFonts w:ascii="Georgia" w:hAnsi="Georgia"/>
          <w:sz w:val="24"/>
          <w:szCs w:val="24"/>
        </w:rPr>
      </w:pPr>
    </w:p>
    <w:p w:rsidR="006A3EDA" w:rsidRDefault="006A3EDA" w:rsidP="008A1BFE">
      <w:pPr>
        <w:rPr>
          <w:rFonts w:ascii="Georgia" w:hAnsi="Georgia"/>
          <w:sz w:val="24"/>
          <w:szCs w:val="24"/>
        </w:rPr>
      </w:pPr>
    </w:p>
    <w:p w:rsidR="006A3EDA" w:rsidRDefault="006A3EDA" w:rsidP="008A1BFE">
      <w:pPr>
        <w:rPr>
          <w:rFonts w:ascii="Georgia" w:hAnsi="Georgia"/>
          <w:sz w:val="24"/>
          <w:szCs w:val="24"/>
        </w:rPr>
      </w:pPr>
    </w:p>
    <w:p w:rsidR="006A3EDA" w:rsidRDefault="006A3EDA" w:rsidP="008A1BFE">
      <w:pPr>
        <w:rPr>
          <w:rFonts w:ascii="Georgia" w:hAnsi="Georgia"/>
          <w:sz w:val="24"/>
          <w:szCs w:val="24"/>
        </w:rPr>
      </w:pPr>
    </w:p>
    <w:p w:rsidR="006A3EDA" w:rsidRDefault="006A3EDA" w:rsidP="008A1BFE">
      <w:pPr>
        <w:rPr>
          <w:rFonts w:ascii="Georgia" w:hAnsi="Georgia"/>
          <w:sz w:val="24"/>
          <w:szCs w:val="24"/>
        </w:rPr>
      </w:pPr>
    </w:p>
    <w:p w:rsidR="00021BA6" w:rsidRDefault="00021BA6" w:rsidP="008A1BFE">
      <w:pPr>
        <w:rPr>
          <w:rFonts w:ascii="Georgia" w:hAnsi="Georgia"/>
          <w:sz w:val="24"/>
          <w:szCs w:val="24"/>
        </w:rPr>
      </w:pPr>
    </w:p>
    <w:p w:rsidR="00021BA6" w:rsidRDefault="00021BA6" w:rsidP="008A1BFE">
      <w:pPr>
        <w:rPr>
          <w:rFonts w:ascii="Georgia" w:hAnsi="Georgia"/>
          <w:sz w:val="24"/>
          <w:szCs w:val="24"/>
        </w:rPr>
      </w:pPr>
    </w:p>
    <w:p w:rsidR="00021BA6" w:rsidRDefault="00021BA6" w:rsidP="008A1BFE">
      <w:pPr>
        <w:rPr>
          <w:rFonts w:ascii="Georgia" w:hAnsi="Georgia"/>
          <w:sz w:val="24"/>
          <w:szCs w:val="24"/>
        </w:rPr>
      </w:pPr>
    </w:p>
    <w:p w:rsidR="00021BA6" w:rsidRDefault="00021BA6" w:rsidP="008A1BFE">
      <w:pPr>
        <w:rPr>
          <w:rFonts w:ascii="Georgia" w:hAnsi="Georgia"/>
          <w:sz w:val="24"/>
          <w:szCs w:val="24"/>
        </w:rPr>
      </w:pPr>
    </w:p>
    <w:p w:rsidR="00021BA6" w:rsidRDefault="00021BA6" w:rsidP="008A1BFE">
      <w:pPr>
        <w:rPr>
          <w:rFonts w:ascii="Georgia" w:hAnsi="Georgia"/>
          <w:sz w:val="24"/>
          <w:szCs w:val="24"/>
        </w:rPr>
      </w:pPr>
    </w:p>
    <w:p w:rsidR="00021BA6" w:rsidRDefault="00021BA6" w:rsidP="008A1BFE">
      <w:pPr>
        <w:rPr>
          <w:rFonts w:ascii="Georgia" w:hAnsi="Georgia"/>
          <w:sz w:val="24"/>
          <w:szCs w:val="24"/>
        </w:rPr>
      </w:pPr>
    </w:p>
    <w:p w:rsidR="00021BA6" w:rsidRDefault="00021BA6" w:rsidP="008A1BFE">
      <w:pPr>
        <w:rPr>
          <w:rFonts w:ascii="Georgia" w:hAnsi="Georgia"/>
          <w:sz w:val="24"/>
          <w:szCs w:val="24"/>
        </w:rPr>
      </w:pPr>
    </w:p>
    <w:p w:rsidR="00F91D07" w:rsidRDefault="00F91D07" w:rsidP="008A1BFE">
      <w:pPr>
        <w:rPr>
          <w:rFonts w:ascii="Georgia" w:hAnsi="Georgia"/>
          <w:sz w:val="24"/>
          <w:szCs w:val="24"/>
        </w:rPr>
      </w:pPr>
    </w:p>
    <w:p w:rsidR="006A3EDA" w:rsidRPr="00250F0C" w:rsidRDefault="006A3EDA" w:rsidP="00021BA6">
      <w:pPr>
        <w:spacing w:after="0" w:line="240" w:lineRule="auto"/>
        <w:jc w:val="center"/>
        <w:rPr>
          <w:rFonts w:ascii="Georgia" w:eastAsia="Times New Roman" w:hAnsi="Georgia" w:cs="Arial"/>
          <w:b/>
          <w:bCs/>
          <w:sz w:val="28"/>
          <w:szCs w:val="28"/>
          <w:u w:val="single"/>
          <w:lang w:val="en-GB" w:eastAsia="en-GB"/>
        </w:rPr>
      </w:pPr>
      <w:r w:rsidRPr="00250F0C">
        <w:rPr>
          <w:rFonts w:ascii="Georgia" w:eastAsia="Times New Roman" w:hAnsi="Georgia" w:cs="Arial"/>
          <w:b/>
          <w:bCs/>
          <w:sz w:val="28"/>
          <w:szCs w:val="28"/>
          <w:u w:val="single"/>
          <w:lang w:val="en-GB" w:eastAsia="en-GB"/>
        </w:rPr>
        <w:t>Appendix to</w:t>
      </w:r>
      <w:r w:rsidR="00250F0C">
        <w:rPr>
          <w:rFonts w:ascii="Georgia" w:eastAsia="Times New Roman" w:hAnsi="Georgia" w:cs="Arial"/>
          <w:b/>
          <w:bCs/>
          <w:sz w:val="28"/>
          <w:szCs w:val="28"/>
          <w:u w:val="single"/>
          <w:lang w:val="en-GB" w:eastAsia="en-GB"/>
        </w:rPr>
        <w:t xml:space="preserve"> School Self-Evaluation Report</w:t>
      </w:r>
    </w:p>
    <w:p w:rsidR="00250F0C" w:rsidRDefault="00250F0C" w:rsidP="00250F0C">
      <w:pPr>
        <w:spacing w:after="0" w:line="240" w:lineRule="auto"/>
        <w:jc w:val="both"/>
        <w:rPr>
          <w:rFonts w:ascii="Georgia" w:eastAsia="Times New Roman" w:hAnsi="Georgia" w:cs="Arial"/>
          <w:b/>
          <w:bCs/>
          <w:sz w:val="28"/>
          <w:szCs w:val="28"/>
          <w:lang w:val="en-GB" w:eastAsia="en-GB"/>
        </w:rPr>
      </w:pPr>
    </w:p>
    <w:p w:rsidR="006A3EDA" w:rsidRPr="00250F0C" w:rsidRDefault="00250F0C" w:rsidP="00250F0C">
      <w:pPr>
        <w:spacing w:after="0" w:line="240" w:lineRule="auto"/>
        <w:jc w:val="both"/>
        <w:rPr>
          <w:rFonts w:ascii="Georgia" w:eastAsia="Times New Roman" w:hAnsi="Georgia" w:cs="Arial"/>
          <w:b/>
          <w:bCs/>
          <w:sz w:val="28"/>
          <w:szCs w:val="28"/>
          <w:lang w:val="en-GB" w:eastAsia="en-GB"/>
        </w:rPr>
      </w:pPr>
      <w:r w:rsidRPr="00250F0C">
        <w:rPr>
          <w:rFonts w:ascii="Georgia" w:eastAsia="Times New Roman" w:hAnsi="Georgia" w:cs="Arial"/>
          <w:b/>
          <w:bCs/>
          <w:sz w:val="28"/>
          <w:szCs w:val="28"/>
          <w:lang w:val="en-GB" w:eastAsia="en-GB"/>
        </w:rPr>
        <w:t>St Aloysius Secondary School</w:t>
      </w:r>
      <w:r>
        <w:rPr>
          <w:rFonts w:ascii="Georgia" w:eastAsia="Times New Roman" w:hAnsi="Georgia" w:cs="Arial"/>
          <w:b/>
          <w:bCs/>
          <w:sz w:val="28"/>
          <w:szCs w:val="28"/>
          <w:lang w:val="en-GB" w:eastAsia="en-GB"/>
        </w:rPr>
        <w:t>,</w:t>
      </w:r>
      <w:r w:rsidRPr="00250F0C">
        <w:rPr>
          <w:rFonts w:ascii="Georgia" w:eastAsia="Times New Roman" w:hAnsi="Georgia" w:cs="Arial"/>
          <w:b/>
          <w:bCs/>
          <w:sz w:val="28"/>
          <w:szCs w:val="28"/>
          <w:lang w:val="en-GB" w:eastAsia="en-GB"/>
        </w:rPr>
        <w:t xml:space="preserve"> </w:t>
      </w:r>
      <w:r w:rsidR="006A3EDA" w:rsidRPr="00250F0C">
        <w:rPr>
          <w:rFonts w:ascii="Georgia" w:eastAsia="Times New Roman" w:hAnsi="Georgia" w:cs="Arial"/>
          <w:b/>
          <w:bCs/>
          <w:sz w:val="28"/>
          <w:szCs w:val="28"/>
          <w:lang w:val="en-GB" w:eastAsia="en-GB"/>
        </w:rPr>
        <w:t>legislative and regulatory checklist</w:t>
      </w:r>
      <w:r w:rsidRPr="00250F0C">
        <w:rPr>
          <w:rFonts w:ascii="Georgia" w:eastAsia="Times New Roman" w:hAnsi="Georgia" w:cs="Arial"/>
          <w:b/>
          <w:bCs/>
          <w:sz w:val="28"/>
          <w:szCs w:val="28"/>
          <w:lang w:val="en-GB" w:eastAsia="en-GB"/>
        </w:rPr>
        <w:t>.</w:t>
      </w:r>
    </w:p>
    <w:p w:rsidR="00250F0C" w:rsidRDefault="00250F0C" w:rsidP="00250F0C">
      <w:pPr>
        <w:spacing w:after="0" w:line="240" w:lineRule="auto"/>
        <w:jc w:val="both"/>
        <w:rPr>
          <w:rFonts w:ascii="Georgia" w:eastAsia="Times New Roman" w:hAnsi="Georgia" w:cs="Arial"/>
          <w:b/>
          <w:bCs/>
          <w:sz w:val="28"/>
          <w:szCs w:val="28"/>
          <w:lang w:val="en-GB" w:eastAsia="en-GB"/>
        </w:rPr>
      </w:pPr>
    </w:p>
    <w:p w:rsidR="00250F0C" w:rsidRPr="00250F0C" w:rsidRDefault="00250F0C" w:rsidP="00250F0C">
      <w:pP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en-GB" w:eastAsia="en-GB"/>
        </w:rPr>
      </w:pPr>
      <w:r w:rsidRPr="00250F0C">
        <w:rPr>
          <w:rFonts w:ascii="Georgia" w:eastAsia="Times New Roman" w:hAnsi="Georgia" w:cs="Arial"/>
          <w:b/>
          <w:bCs/>
          <w:sz w:val="28"/>
          <w:szCs w:val="28"/>
          <w:lang w:val="en-GB" w:eastAsia="en-GB"/>
        </w:rPr>
        <w:t>Completed in May 2014</w:t>
      </w:r>
    </w:p>
    <w:p w:rsidR="006A3EDA" w:rsidRDefault="006A3EDA" w:rsidP="008A1BFE">
      <w:pPr>
        <w:rPr>
          <w:rFonts w:ascii="Georgia" w:hAnsi="Georgia"/>
          <w:sz w:val="24"/>
          <w:szCs w:val="24"/>
        </w:rPr>
      </w:pPr>
    </w:p>
    <w:p w:rsidR="006A3EDA" w:rsidRDefault="006A3EDA" w:rsidP="008A1BFE">
      <w:pPr>
        <w:rPr>
          <w:rFonts w:ascii="Georgia" w:hAnsi="Georgia"/>
          <w:sz w:val="24"/>
          <w:szCs w:val="24"/>
        </w:rPr>
      </w:pPr>
    </w:p>
    <w:tbl>
      <w:tblPr>
        <w:tblW w:w="6125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2939"/>
        <w:gridCol w:w="820"/>
        <w:gridCol w:w="1512"/>
        <w:gridCol w:w="1757"/>
        <w:gridCol w:w="1560"/>
      </w:tblGrid>
      <w:tr w:rsidR="006A3EDA" w:rsidRPr="006A3EDA" w:rsidTr="0074321F">
        <w:trPr>
          <w:tblHeader/>
        </w:trPr>
        <w:tc>
          <w:tcPr>
            <w:tcW w:w="1207" w:type="pct"/>
            <w:tcBorders>
              <w:bottom w:val="single" w:sz="4" w:space="0" w:color="auto"/>
            </w:tcBorders>
            <w:shd w:val="clear" w:color="auto" w:fill="FFCC99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A3E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Issue</w:t>
            </w:r>
          </w:p>
        </w:tc>
        <w:tc>
          <w:tcPr>
            <w:tcW w:w="2328" w:type="pct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6A3E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Relevant legislation, rule or circular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FFCC99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A3E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Is the school fully meeting the requirements of the relevant legislation, rule or circular?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FFCC99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A3E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If no, indicate aspects to be developed</w:t>
            </w:r>
          </w:p>
        </w:tc>
      </w:tr>
      <w:tr w:rsidR="006A3EDA" w:rsidRPr="006A3EDA" w:rsidTr="0074321F">
        <w:tc>
          <w:tcPr>
            <w:tcW w:w="1207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Valid enrolment of students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8" w:type="pct"/>
            <w:gridSpan w:val="3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M51/93</w:t>
            </w:r>
          </w:p>
        </w:tc>
        <w:tc>
          <w:tcPr>
            <w:tcW w:w="776" w:type="pct"/>
            <w:shd w:val="clear" w:color="auto" w:fill="CCFFFF"/>
          </w:tcPr>
          <w:p w:rsidR="006A3EDA" w:rsidRPr="006A3EDA" w:rsidRDefault="00250F0C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No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89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c>
          <w:tcPr>
            <w:tcW w:w="1207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 in school</w:t>
            </w:r>
          </w:p>
          <w:p w:rsidR="006A3EDA" w:rsidRPr="006A3EDA" w:rsidRDefault="006A3EDA" w:rsidP="006A3EDA">
            <w:pPr>
              <w:numPr>
                <w:ilvl w:val="0"/>
                <w:numId w:val="1"/>
              </w:numPr>
              <w:spacing w:after="0" w:line="240" w:lineRule="auto"/>
              <w:ind w:left="360" w:hanging="18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Length of school year (minimum of 167 days for all year groups)</w:t>
            </w:r>
          </w:p>
          <w:p w:rsidR="006A3EDA" w:rsidRPr="006A3EDA" w:rsidRDefault="006A3EDA" w:rsidP="006A3EDA">
            <w:pPr>
              <w:numPr>
                <w:ilvl w:val="0"/>
                <w:numId w:val="1"/>
              </w:numPr>
              <w:spacing w:after="0" w:line="240" w:lineRule="auto"/>
              <w:ind w:left="360" w:hanging="18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Length of school week (minimum of 28 hours for all year groups)</w:t>
            </w:r>
          </w:p>
          <w:p w:rsidR="006A3EDA" w:rsidRPr="006A3EDA" w:rsidRDefault="006A3EDA" w:rsidP="006A3ED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8" w:type="pct"/>
            <w:gridSpan w:val="3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Circular M29/95</w:t>
            </w:r>
          </w:p>
        </w:tc>
        <w:tc>
          <w:tcPr>
            <w:tcW w:w="776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A3EDA" w:rsidRPr="006A3EDA" w:rsidRDefault="00250F0C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No</w:t>
            </w: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A3EDA" w:rsidRPr="006A3EDA" w:rsidRDefault="00250F0C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No</w:t>
            </w:r>
          </w:p>
        </w:tc>
        <w:tc>
          <w:tcPr>
            <w:tcW w:w="689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c>
          <w:tcPr>
            <w:tcW w:w="1207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Standardisation of school year 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8" w:type="pct"/>
            <w:gridSpan w:val="3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Circular 034/2011</w:t>
            </w:r>
          </w:p>
        </w:tc>
        <w:tc>
          <w:tcPr>
            <w:tcW w:w="776" w:type="pct"/>
            <w:shd w:val="clear" w:color="auto" w:fill="CCFFFF"/>
          </w:tcPr>
          <w:p w:rsidR="006A3EDA" w:rsidRPr="006A3EDA" w:rsidRDefault="00250F0C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9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c>
          <w:tcPr>
            <w:tcW w:w="1207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Arrangements for parent/teacher and staff meetings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8" w:type="pct"/>
            <w:gridSpan w:val="3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Circular M58/04</w:t>
            </w:r>
          </w:p>
        </w:tc>
        <w:tc>
          <w:tcPr>
            <w:tcW w:w="776" w:type="pct"/>
            <w:shd w:val="clear" w:color="auto" w:fill="CCFFFF"/>
          </w:tcPr>
          <w:p w:rsidR="006A3EDA" w:rsidRPr="006A3EDA" w:rsidRDefault="00250F0C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689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c>
          <w:tcPr>
            <w:tcW w:w="1207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Implementation of national literacy strategy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8" w:type="pct"/>
            <w:gridSpan w:val="3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Circular 25/12</w:t>
            </w:r>
          </w:p>
        </w:tc>
        <w:tc>
          <w:tcPr>
            <w:tcW w:w="776" w:type="pct"/>
            <w:shd w:val="clear" w:color="auto" w:fill="CCFFFF"/>
          </w:tcPr>
          <w:p w:rsidR="006A3EDA" w:rsidRPr="006A3EDA" w:rsidRDefault="00250F0C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No</w:t>
            </w:r>
          </w:p>
        </w:tc>
        <w:tc>
          <w:tcPr>
            <w:tcW w:w="689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c>
          <w:tcPr>
            <w:tcW w:w="1207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Implementation of </w:t>
            </w:r>
            <w:smartTag w:uri="urn:schemas-microsoft-com:office:smarttags" w:element="place">
              <w:smartTag w:uri="urn:schemas-microsoft-com:office:smarttags" w:element="PlaceName">
                <w:r w:rsidRPr="006A3EDA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Croke</w:t>
                </w:r>
              </w:smartTag>
              <w:r w:rsidRPr="006A3EDA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6A3EDA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Park</w:t>
                </w:r>
              </w:smartTag>
            </w:smartTag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agreement regarding additional time requirement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8" w:type="pct"/>
            <w:gridSpan w:val="3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Circular 025/2011</w:t>
            </w:r>
          </w:p>
        </w:tc>
        <w:tc>
          <w:tcPr>
            <w:tcW w:w="776" w:type="pct"/>
            <w:shd w:val="clear" w:color="auto" w:fill="CCFFFF"/>
          </w:tcPr>
          <w:p w:rsidR="006A3EDA" w:rsidRPr="006A3EDA" w:rsidRDefault="00250F0C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689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c>
          <w:tcPr>
            <w:tcW w:w="1207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Development of school plan</w:t>
            </w:r>
          </w:p>
        </w:tc>
        <w:tc>
          <w:tcPr>
            <w:tcW w:w="2328" w:type="pct"/>
            <w:gridSpan w:val="3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Section 21 Education Act 1998 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6" w:type="pct"/>
            <w:shd w:val="clear" w:color="auto" w:fill="CCFFFF"/>
          </w:tcPr>
          <w:p w:rsidR="006A3EDA" w:rsidRPr="006A3EDA" w:rsidRDefault="00250F0C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689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c>
          <w:tcPr>
            <w:tcW w:w="1207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Guidance provision 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secondary schools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8" w:type="pct"/>
            <w:gridSpan w:val="3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Circular PPT12/05, Education Act 1998 (section 9(c))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6" w:type="pct"/>
            <w:shd w:val="clear" w:color="auto" w:fill="CCFFFF"/>
          </w:tcPr>
          <w:p w:rsidR="006A3EDA" w:rsidRPr="006A3EDA" w:rsidRDefault="00C37CB2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689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c>
          <w:tcPr>
            <w:tcW w:w="1207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Whole-school guidance plan</w:t>
            </w:r>
          </w:p>
        </w:tc>
        <w:tc>
          <w:tcPr>
            <w:tcW w:w="2328" w:type="pct"/>
            <w:gridSpan w:val="3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21 Education Act 1998</w:t>
            </w:r>
          </w:p>
        </w:tc>
        <w:tc>
          <w:tcPr>
            <w:tcW w:w="776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r w:rsidR="00250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0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250F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89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c>
          <w:tcPr>
            <w:tcW w:w="1207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Delivery of CSPE to 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junior cycle classes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8" w:type="pct"/>
            <w:gridSpan w:val="3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Circular M12/01 Circular M13/05</w:t>
            </w:r>
          </w:p>
        </w:tc>
        <w:tc>
          <w:tcPr>
            <w:tcW w:w="776" w:type="pct"/>
            <w:shd w:val="clear" w:color="auto" w:fill="CCFFFF"/>
          </w:tcPr>
          <w:p w:rsidR="006A3EDA" w:rsidRPr="006A3EDA" w:rsidRDefault="00250F0C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689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c>
          <w:tcPr>
            <w:tcW w:w="1207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Exemption from the study of Irish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 </w:t>
            </w:r>
          </w:p>
        </w:tc>
        <w:tc>
          <w:tcPr>
            <w:tcW w:w="2328" w:type="pct"/>
            <w:gridSpan w:val="3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Circular M10/94</w:t>
            </w:r>
          </w:p>
        </w:tc>
        <w:tc>
          <w:tcPr>
            <w:tcW w:w="776" w:type="pct"/>
            <w:shd w:val="clear" w:color="auto" w:fill="CCFFFF"/>
          </w:tcPr>
          <w:p w:rsidR="006A3EDA" w:rsidRPr="006A3EDA" w:rsidRDefault="00C37CB2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89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c>
          <w:tcPr>
            <w:tcW w:w="1207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Implementation of revised 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in-school management structures 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8" w:type="pct"/>
            <w:gridSpan w:val="3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Circular M29/02, Circular 21/98, Circular 30/97, Circular 29/97</w:t>
            </w:r>
          </w:p>
        </w:tc>
        <w:tc>
          <w:tcPr>
            <w:tcW w:w="776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r w:rsidR="00F91D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 w:rsidR="00F91D07">
              <w:instrText xml:space="preserve"> XE "</w:instrText>
            </w:r>
            <w:r w:rsidR="00F91D07" w:rsidRPr="00D3522E">
              <w:instrText>x</w:instrText>
            </w:r>
            <w:r w:rsidR="00F91D07">
              <w:instrText xml:space="preserve">" </w:instrText>
            </w:r>
            <w:r w:rsidR="00F91D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689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c>
          <w:tcPr>
            <w:tcW w:w="1207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Limited alleviation on filling posts of responsibility for school year 2011/12</w:t>
            </w:r>
          </w:p>
        </w:tc>
        <w:tc>
          <w:tcPr>
            <w:tcW w:w="2328" w:type="pct"/>
            <w:gridSpan w:val="3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Circular 53/11</w:t>
            </w:r>
          </w:p>
        </w:tc>
        <w:tc>
          <w:tcPr>
            <w:tcW w:w="776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689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c>
          <w:tcPr>
            <w:tcW w:w="1207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Parents as partners in education</w:t>
            </w:r>
          </w:p>
        </w:tc>
        <w:tc>
          <w:tcPr>
            <w:tcW w:w="2328" w:type="pct"/>
            <w:gridSpan w:val="3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Circular M27/91</w:t>
            </w:r>
          </w:p>
        </w:tc>
        <w:tc>
          <w:tcPr>
            <w:tcW w:w="776" w:type="pct"/>
            <w:shd w:val="clear" w:color="auto" w:fill="CCFFFF"/>
          </w:tcPr>
          <w:p w:rsidR="006A3EDA" w:rsidRPr="006A3EDA" w:rsidRDefault="00250F0C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689" w:type="pct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21F" w:rsidRPr="006A3EDA" w:rsidTr="0074321F">
        <w:trPr>
          <w:trHeight w:val="1150"/>
        </w:trPr>
        <w:tc>
          <w:tcPr>
            <w:tcW w:w="1207" w:type="pct"/>
            <w:vMerge w:val="restart"/>
            <w:shd w:val="clear" w:color="auto" w:fill="CCFFFF"/>
          </w:tcPr>
          <w:p w:rsidR="0074321F" w:rsidRPr="006A3EDA" w:rsidRDefault="0074321F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Implementation of child protection procedures</w:t>
            </w:r>
          </w:p>
        </w:tc>
        <w:tc>
          <w:tcPr>
            <w:tcW w:w="2328" w:type="pct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74321F" w:rsidRPr="006A3EDA" w:rsidRDefault="0074321F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Circular 65/11</w:t>
            </w:r>
          </w:p>
          <w:p w:rsidR="0074321F" w:rsidRPr="006A3EDA" w:rsidRDefault="0074321F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74321F" w:rsidRPr="006A3EDA" w:rsidRDefault="0074321F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Please provide the following information in relation to child protection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CCFFFF"/>
          </w:tcPr>
          <w:p w:rsidR="0074321F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321F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  <w:p w:rsidR="0074321F" w:rsidRPr="0074321F" w:rsidRDefault="0074321F" w:rsidP="0074321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321F" w:rsidRPr="0074321F" w:rsidRDefault="0074321F" w:rsidP="0074321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CCFFFF"/>
          </w:tcPr>
          <w:p w:rsidR="0074321F" w:rsidRPr="006A3EDA" w:rsidRDefault="0074321F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321F" w:rsidRPr="006A3EDA" w:rsidTr="0074321F">
        <w:trPr>
          <w:trHeight w:val="668"/>
        </w:trPr>
        <w:tc>
          <w:tcPr>
            <w:tcW w:w="1207" w:type="pct"/>
            <w:vMerge/>
            <w:shd w:val="clear" w:color="auto" w:fill="CCFFFF"/>
          </w:tcPr>
          <w:p w:rsidR="0074321F" w:rsidRPr="006A3EDA" w:rsidDel="004F38F8" w:rsidRDefault="0074321F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0" w:type="pct"/>
            <w:gridSpan w:val="2"/>
            <w:shd w:val="clear" w:color="auto" w:fill="CCFFFF"/>
          </w:tcPr>
          <w:p w:rsidR="0074321F" w:rsidRPr="006A3EDA" w:rsidRDefault="0074321F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▪ Number of cases where a report involving a child in the school was submitted by the DLP to the HSE</w:t>
            </w:r>
          </w:p>
          <w:p w:rsidR="0074321F" w:rsidRPr="006A3EDA" w:rsidRDefault="0074321F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68" w:type="pct"/>
            <w:shd w:val="clear" w:color="auto" w:fill="CCFFFF"/>
          </w:tcPr>
          <w:p w:rsidR="0074321F" w:rsidRPr="006A3EDA" w:rsidRDefault="0074321F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321F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74321F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  <w:p w:rsidR="0074321F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CCFFFF"/>
          </w:tcPr>
          <w:p w:rsidR="0074321F" w:rsidRDefault="0074321F" w:rsidP="0074321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in 2012/13</w:t>
            </w:r>
          </w:p>
          <w:p w:rsidR="0074321F" w:rsidRPr="006A3EDA" w:rsidRDefault="0074321F" w:rsidP="0074321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 in 2013/14</w:t>
            </w:r>
          </w:p>
        </w:tc>
        <w:tc>
          <w:tcPr>
            <w:tcW w:w="689" w:type="pct"/>
            <w:vMerge w:val="restart"/>
            <w:shd w:val="clear" w:color="auto" w:fill="CCFFFF"/>
          </w:tcPr>
          <w:p w:rsidR="0074321F" w:rsidRPr="006A3EDA" w:rsidRDefault="0074321F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321F" w:rsidRPr="006A3EDA" w:rsidTr="0074321F">
        <w:trPr>
          <w:trHeight w:val="900"/>
        </w:trPr>
        <w:tc>
          <w:tcPr>
            <w:tcW w:w="1207" w:type="pct"/>
            <w:vMerge/>
            <w:shd w:val="clear" w:color="auto" w:fill="CCFFFF"/>
          </w:tcPr>
          <w:p w:rsidR="0074321F" w:rsidRPr="006A3EDA" w:rsidDel="004F38F8" w:rsidRDefault="0074321F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0" w:type="pct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74321F" w:rsidRPr="006A3EDA" w:rsidRDefault="0074321F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▪ Number of cases where a report involving a child in the school was submitted by the DLP to the HSE and the school board of management informed</w:t>
            </w:r>
          </w:p>
          <w:p w:rsidR="0074321F" w:rsidRPr="006A3EDA" w:rsidRDefault="0074321F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CCFFFF"/>
          </w:tcPr>
          <w:p w:rsidR="0074321F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321F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321F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74321F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CCFFFF"/>
          </w:tcPr>
          <w:p w:rsidR="0074321F" w:rsidRDefault="0074321F" w:rsidP="0074321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in 2012/13</w:t>
            </w:r>
          </w:p>
          <w:p w:rsidR="0074321F" w:rsidRDefault="0074321F" w:rsidP="0074321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 in 2013/14</w:t>
            </w:r>
          </w:p>
        </w:tc>
        <w:tc>
          <w:tcPr>
            <w:tcW w:w="689" w:type="pct"/>
            <w:vMerge/>
            <w:shd w:val="clear" w:color="auto" w:fill="CCFFFF"/>
          </w:tcPr>
          <w:p w:rsidR="0074321F" w:rsidRPr="006A3EDA" w:rsidRDefault="0074321F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321F" w:rsidRPr="006A3EDA" w:rsidTr="0074321F">
        <w:trPr>
          <w:trHeight w:val="1095"/>
        </w:trPr>
        <w:tc>
          <w:tcPr>
            <w:tcW w:w="1207" w:type="pct"/>
            <w:vMerge/>
            <w:shd w:val="clear" w:color="auto" w:fill="CCFFFF"/>
          </w:tcPr>
          <w:p w:rsidR="0074321F" w:rsidRPr="006A3EDA" w:rsidDel="004F38F8" w:rsidRDefault="0074321F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0" w:type="pct"/>
            <w:gridSpan w:val="2"/>
            <w:shd w:val="clear" w:color="auto" w:fill="CCFFFF"/>
          </w:tcPr>
          <w:p w:rsidR="0074321F" w:rsidRPr="006A3EDA" w:rsidRDefault="0074321F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▪ Number of cases where the DLP sought advice from the HSE and as a result of this advice, no report was made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</w:p>
          <w:p w:rsidR="0074321F" w:rsidRDefault="0074321F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74321F" w:rsidRDefault="0074321F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74321F" w:rsidRPr="006A3EDA" w:rsidRDefault="0074321F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68" w:type="pct"/>
            <w:shd w:val="clear" w:color="auto" w:fill="CCFFFF"/>
          </w:tcPr>
          <w:p w:rsidR="0074321F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321F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321F" w:rsidRPr="006A3EDA" w:rsidRDefault="0074321F" w:rsidP="00743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  <w:p w:rsidR="0074321F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321F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6" w:type="pct"/>
            <w:shd w:val="clear" w:color="auto" w:fill="CCFFFF"/>
          </w:tcPr>
          <w:p w:rsidR="0074321F" w:rsidRDefault="0074321F" w:rsidP="0074321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 in 2012/13</w:t>
            </w:r>
          </w:p>
          <w:p w:rsidR="0074321F" w:rsidRDefault="0074321F" w:rsidP="0074321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in 2013/14</w:t>
            </w:r>
          </w:p>
        </w:tc>
        <w:tc>
          <w:tcPr>
            <w:tcW w:w="689" w:type="pct"/>
            <w:vMerge/>
            <w:shd w:val="clear" w:color="auto" w:fill="CCFFFF"/>
          </w:tcPr>
          <w:p w:rsidR="0074321F" w:rsidRPr="006A3EDA" w:rsidRDefault="0074321F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321F" w:rsidRPr="006A3EDA" w:rsidTr="0074321F">
        <w:trPr>
          <w:trHeight w:val="1515"/>
        </w:trPr>
        <w:tc>
          <w:tcPr>
            <w:tcW w:w="1207" w:type="pct"/>
            <w:vMerge/>
            <w:shd w:val="clear" w:color="auto" w:fill="CCFFFF"/>
          </w:tcPr>
          <w:p w:rsidR="0074321F" w:rsidRPr="006A3EDA" w:rsidDel="004F38F8" w:rsidRDefault="0074321F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0" w:type="pct"/>
            <w:gridSpan w:val="2"/>
            <w:shd w:val="clear" w:color="auto" w:fill="CCFFFF"/>
          </w:tcPr>
          <w:p w:rsidR="0074321F" w:rsidRPr="006A3EDA" w:rsidRDefault="0074321F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Number of cases where the DLP sought advice from the HSE and as a result of this advice, no report was made and the school board of management informed</w:t>
            </w:r>
          </w:p>
        </w:tc>
        <w:tc>
          <w:tcPr>
            <w:tcW w:w="668" w:type="pct"/>
            <w:shd w:val="clear" w:color="auto" w:fill="CCFFFF"/>
          </w:tcPr>
          <w:p w:rsidR="0074321F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321F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321F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776" w:type="pct"/>
            <w:shd w:val="clear" w:color="auto" w:fill="CCFFFF"/>
          </w:tcPr>
          <w:p w:rsidR="0074321F" w:rsidRDefault="0074321F" w:rsidP="0074321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 in 2012/13</w:t>
            </w:r>
          </w:p>
          <w:p w:rsidR="0074321F" w:rsidRDefault="0074321F" w:rsidP="0074321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in 203/14</w:t>
            </w:r>
          </w:p>
        </w:tc>
        <w:tc>
          <w:tcPr>
            <w:tcW w:w="689" w:type="pct"/>
            <w:vMerge/>
            <w:shd w:val="clear" w:color="auto" w:fill="CCFFFF"/>
          </w:tcPr>
          <w:p w:rsidR="0074321F" w:rsidRPr="006A3EDA" w:rsidRDefault="0074321F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rPr>
          <w:trHeight w:val="1169"/>
        </w:trPr>
        <w:tc>
          <w:tcPr>
            <w:tcW w:w="1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Implementation of complaints procedure as appropriate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2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Section 28 Education Act 1998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Please provide the following information in relation to complaints made by parents during this school year </w:t>
            </w:r>
          </w:p>
        </w:tc>
        <w:tc>
          <w:tcPr>
            <w:tcW w:w="7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6A3EDA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rPr>
          <w:trHeight w:val="967"/>
        </w:trPr>
        <w:tc>
          <w:tcPr>
            <w:tcW w:w="1207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▪ </w:t>
            </w: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Number of formal parental complaints received 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▪ </w:t>
            </w: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Number of formal complaints processed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▪ </w:t>
            </w: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Number of formal complaints not fully processed by the end of this school year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6A3EDA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0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A3EDA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0 </w:t>
            </w: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A3EDA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0 </w:t>
            </w: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6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rPr>
          <w:trHeight w:val="70"/>
        </w:trPr>
        <w:tc>
          <w:tcPr>
            <w:tcW w:w="1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Refusal to enrol</w:t>
            </w:r>
          </w:p>
        </w:tc>
        <w:tc>
          <w:tcPr>
            <w:tcW w:w="232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Section 29 Education Act 1998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Please provide the following information in relation to appeals taken in accordance with Section 29 against the school during this school year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N/A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rPr>
          <w:trHeight w:val="60"/>
        </w:trPr>
        <w:tc>
          <w:tcPr>
            <w:tcW w:w="1207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Number of section 29 cases taken against the school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Number of cases processed at informal stage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Number of cases heard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Number of appeals upheld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Number of appeals dismissed</w:t>
            </w: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6A3EDA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0</w:t>
            </w: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A3EDA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0</w:t>
            </w: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A3EDA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0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A3EDA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0</w:t>
            </w:r>
          </w:p>
          <w:p w:rsidR="006A3EDA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0</w:t>
            </w:r>
          </w:p>
        </w:tc>
        <w:tc>
          <w:tcPr>
            <w:tcW w:w="776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89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rPr>
          <w:trHeight w:val="968"/>
        </w:trPr>
        <w:tc>
          <w:tcPr>
            <w:tcW w:w="1207" w:type="pct"/>
            <w:vMerge w:val="restart"/>
            <w:tcBorders>
              <w:top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Suspension of students</w:t>
            </w:r>
          </w:p>
        </w:tc>
        <w:tc>
          <w:tcPr>
            <w:tcW w:w="2328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Section 29 Education Act 1998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Please provide the following information in relation to appeals taken in accordance with Section 29 against the school during this school year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76" w:type="pct"/>
            <w:vMerge w:val="restart"/>
            <w:tcBorders>
              <w:top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89" w:type="pct"/>
            <w:vMerge w:val="restart"/>
            <w:tcBorders>
              <w:top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rPr>
          <w:trHeight w:val="967"/>
        </w:trPr>
        <w:tc>
          <w:tcPr>
            <w:tcW w:w="1207" w:type="pct"/>
            <w:vMerge/>
            <w:tcBorders>
              <w:bottom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98" w:type="pct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Number of section 29 cases taken against the school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Number of cases processed at informal stage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Number of cases heard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Number of appeals upheld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Number of appeals dismissed</w:t>
            </w: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A3EDA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0 </w:t>
            </w: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A3EDA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0</w:t>
            </w: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A3EDA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0</w:t>
            </w: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A3EDA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0</w:t>
            </w: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A3EDA" w:rsidRP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0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76" w:type="pct"/>
            <w:vMerge/>
            <w:tcBorders>
              <w:bottom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89" w:type="pct"/>
            <w:vMerge/>
            <w:tcBorders>
              <w:bottom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rPr>
          <w:trHeight w:val="968"/>
        </w:trPr>
        <w:tc>
          <w:tcPr>
            <w:tcW w:w="1207" w:type="pct"/>
            <w:vMerge w:val="restart"/>
            <w:tcBorders>
              <w:top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Expulsion of students</w:t>
            </w:r>
          </w:p>
        </w:tc>
        <w:tc>
          <w:tcPr>
            <w:tcW w:w="1298" w:type="pct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Section 29 Education Act 1998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Please provide the following information in relation to appeals taken in accordance with Section 29 against the school during this school year</w:t>
            </w:r>
          </w:p>
        </w:tc>
        <w:tc>
          <w:tcPr>
            <w:tcW w:w="103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76" w:type="pct"/>
            <w:vMerge w:val="restart"/>
            <w:tcBorders>
              <w:top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89" w:type="pct"/>
            <w:vMerge w:val="restart"/>
            <w:tcBorders>
              <w:top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rPr>
          <w:trHeight w:val="967"/>
        </w:trPr>
        <w:tc>
          <w:tcPr>
            <w:tcW w:w="1207" w:type="pct"/>
            <w:vMerge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98" w:type="pct"/>
            <w:tcBorders>
              <w:top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Number of section 29 cases taken against the school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Number of cases processed at informal stage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Number of cases heard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Number of appeals upheld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Number of appeals dismissed</w:t>
            </w: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0" w:type="pct"/>
            <w:gridSpan w:val="2"/>
            <w:tcBorders>
              <w:top w:val="single" w:sz="8" w:space="0" w:color="auto"/>
            </w:tcBorders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:rsidR="006A3EDA" w:rsidRPr="006A3EDA" w:rsidRDefault="0074321F" w:rsidP="00743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</w:t>
            </w:r>
          </w:p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A3EDA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  <w:p w:rsidR="0074321F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74321F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  <w:p w:rsidR="0074321F" w:rsidRDefault="0074321F" w:rsidP="007432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74321F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  <w:p w:rsidR="0074321F" w:rsidRDefault="0074321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A3EDA" w:rsidRPr="006A3EDA" w:rsidRDefault="0074321F" w:rsidP="00743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76" w:type="pct"/>
            <w:vMerge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89" w:type="pct"/>
            <w:vMerge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A3EDA" w:rsidRDefault="006A3EDA" w:rsidP="008A1BFE">
      <w:pPr>
        <w:rPr>
          <w:rFonts w:ascii="Georgia" w:hAnsi="Georgia"/>
          <w:sz w:val="24"/>
          <w:szCs w:val="24"/>
        </w:rPr>
      </w:pPr>
    </w:p>
    <w:p w:rsidR="006A3EDA" w:rsidRDefault="008A1BFE" w:rsidP="008A1B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6A3EDA" w:rsidRPr="00E43064">
        <w:rPr>
          <w:rFonts w:ascii="Arial" w:hAnsi="Arial" w:cs="Arial"/>
          <w:b/>
          <w:bCs/>
        </w:rPr>
        <w:t>Appendix to School Self-Evaluation report</w:t>
      </w:r>
      <w:r w:rsidR="006A3EDA">
        <w:rPr>
          <w:rFonts w:ascii="Arial" w:hAnsi="Arial" w:cs="Arial"/>
          <w:b/>
          <w:bCs/>
        </w:rPr>
        <w:t>: policy checklist</w:t>
      </w:r>
    </w:p>
    <w:tbl>
      <w:tblPr>
        <w:tblW w:w="11229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695"/>
        <w:gridCol w:w="1934"/>
        <w:gridCol w:w="3581"/>
      </w:tblGrid>
      <w:tr w:rsidR="006A3EDA" w:rsidRPr="006A3EDA" w:rsidTr="0074321F">
        <w:tc>
          <w:tcPr>
            <w:tcW w:w="3019" w:type="dxa"/>
            <w:tcBorders>
              <w:bottom w:val="single" w:sz="4" w:space="0" w:color="auto"/>
            </w:tcBorders>
            <w:shd w:val="clear" w:color="auto" w:fill="FFCC99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6A3EDA">
              <w:rPr>
                <w:rFonts w:ascii="Times New Roman" w:eastAsia="Times New Roman" w:hAnsi="Times New Roman" w:cs="Times New Roman"/>
                <w:b/>
                <w:lang w:eastAsia="en-GB"/>
              </w:rPr>
              <w:t>Policy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FCC99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6A3EDA">
              <w:rPr>
                <w:rFonts w:ascii="Times New Roman" w:eastAsia="Times New Roman" w:hAnsi="Times New Roman" w:cs="Times New Roman"/>
                <w:b/>
                <w:lang w:eastAsia="en-GB"/>
              </w:rPr>
              <w:t>Source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CC99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A3EDA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Has the policy been approved by the Board of Management ?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99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6A3EDA">
              <w:rPr>
                <w:rFonts w:ascii="Times New Roman" w:eastAsia="Times New Roman" w:hAnsi="Times New Roman" w:cs="Times New Roman"/>
                <w:b/>
                <w:lang w:eastAsia="en-GB"/>
              </w:rPr>
              <w:t>If no, indicate aspects to be developed</w:t>
            </w:r>
          </w:p>
        </w:tc>
      </w:tr>
      <w:tr w:rsidR="006A3EDA" w:rsidRPr="006A3EDA" w:rsidTr="0074321F">
        <w:tc>
          <w:tcPr>
            <w:tcW w:w="3019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Enrolment policy </w:t>
            </w:r>
          </w:p>
        </w:tc>
        <w:tc>
          <w:tcPr>
            <w:tcW w:w="2695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Section 15(2)(d) of Education Act 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lastRenderedPageBreak/>
              <w:t>Equal Status Acts 2000-2011</w:t>
            </w:r>
          </w:p>
        </w:tc>
        <w:tc>
          <w:tcPr>
            <w:tcW w:w="1934" w:type="dxa"/>
            <w:shd w:val="clear" w:color="auto" w:fill="CCFFFF"/>
          </w:tcPr>
          <w:p w:rsidR="006A3EDA" w:rsidRPr="006A3EDA" w:rsidRDefault="0061368F" w:rsidP="006A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Yes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3581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A3EDA" w:rsidRPr="006A3EDA" w:rsidTr="0074321F">
        <w:tc>
          <w:tcPr>
            <w:tcW w:w="3019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Code of behaviour, including anti-bullying policy</w:t>
            </w:r>
            <w:r w:rsidRPr="006A3E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1"/>
            </w:r>
          </w:p>
        </w:tc>
        <w:tc>
          <w:tcPr>
            <w:tcW w:w="2695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Circular M33/91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NEWB guidelines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Section 23, Education Welfare Act 2000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Guidelines on Countering Bullying Behaviour, 1993, Circular M33/91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Equal Status Acts 2000-2011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34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6A3E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Yes </w:t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6A3E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3581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A3E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A3EDA" w:rsidRPr="006A3EDA" w:rsidTr="0074321F">
        <w:tc>
          <w:tcPr>
            <w:tcW w:w="3019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Attendance and participation strategy</w:t>
            </w:r>
            <w:r w:rsidRPr="006A3E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2695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Circular M51/93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Section 22, Education Welfare Act 2000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34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6A3E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Yes </w:t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6A3E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3581" w:type="dxa"/>
            <w:shd w:val="clear" w:color="auto" w:fill="CCFFFF"/>
          </w:tcPr>
          <w:p w:rsidR="006A3EDA" w:rsidRPr="006A3EDA" w:rsidRDefault="0061368F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 practise a specific attendance and participation strategy, but do not have a written explanation of this strategy.</w:t>
            </w:r>
          </w:p>
        </w:tc>
      </w:tr>
      <w:tr w:rsidR="006A3EDA" w:rsidRPr="006A3EDA" w:rsidTr="0074321F">
        <w:tc>
          <w:tcPr>
            <w:tcW w:w="3019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Health and Safety Statement  </w:t>
            </w:r>
          </w:p>
        </w:tc>
        <w:tc>
          <w:tcPr>
            <w:tcW w:w="2695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Health and Safety Act 2005 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Section 20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34" w:type="dxa"/>
            <w:shd w:val="clear" w:color="auto" w:fill="CCFFFF"/>
          </w:tcPr>
          <w:p w:rsidR="006A3EDA" w:rsidRPr="006A3EDA" w:rsidRDefault="0061368F" w:rsidP="006A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Yes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3581" w:type="dxa"/>
            <w:shd w:val="clear" w:color="auto" w:fill="CCFFFF"/>
          </w:tcPr>
          <w:p w:rsidR="006A3EDA" w:rsidRPr="006A3EDA" w:rsidRDefault="0061368F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 have a whole school Safety Statement but need to have subject specific safety statements.</w:t>
            </w:r>
          </w:p>
        </w:tc>
      </w:tr>
      <w:tr w:rsidR="006A3EDA" w:rsidRPr="006A3EDA" w:rsidTr="0074321F">
        <w:tc>
          <w:tcPr>
            <w:tcW w:w="3019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Data protection </w:t>
            </w:r>
          </w:p>
        </w:tc>
        <w:tc>
          <w:tcPr>
            <w:tcW w:w="2695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Data Protection Act 1988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Data Protection (Amendment Act) 2003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34" w:type="dxa"/>
            <w:shd w:val="clear" w:color="auto" w:fill="CCFFFF"/>
          </w:tcPr>
          <w:p w:rsidR="006A3EDA" w:rsidRPr="006A3EDA" w:rsidRDefault="006A3EDA" w:rsidP="00613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6A3E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Yes </w:t>
            </w:r>
            <w:r w:rsidR="006136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136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6136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6A3E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3581" w:type="dxa"/>
            <w:shd w:val="clear" w:color="auto" w:fill="CCFFFF"/>
          </w:tcPr>
          <w:p w:rsidR="006A3EDA" w:rsidRPr="006A3EDA" w:rsidRDefault="006331F5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 consider ourselves complainant, but do not have a written policy in place.</w:t>
            </w:r>
          </w:p>
        </w:tc>
      </w:tr>
      <w:tr w:rsidR="006A3EDA" w:rsidRPr="006A3EDA" w:rsidTr="0074321F">
        <w:tc>
          <w:tcPr>
            <w:tcW w:w="3019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Special education needs policy</w:t>
            </w:r>
            <w:r w:rsidRPr="006A3E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2695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Education Act (1998)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Equal Status Acts (2000 to 2011), 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Education (Welfare) Act (2000),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Education for Persons with Special Education Needs Act (EPSEN)</w:t>
            </w:r>
            <w:r w:rsidRPr="006A3ED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GB"/>
              </w:rPr>
              <w:footnoteReference w:id="4"/>
            </w: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(2004)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Disability Act (2005))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34" w:type="dxa"/>
            <w:shd w:val="clear" w:color="auto" w:fill="CCFFFF"/>
          </w:tcPr>
          <w:p w:rsidR="006A3EDA" w:rsidRPr="006A3EDA" w:rsidRDefault="006A3EDA" w:rsidP="0061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6A3E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Yes </w:t>
            </w:r>
            <w:r w:rsidR="006136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136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6136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6A3E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3581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c>
          <w:tcPr>
            <w:tcW w:w="3019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Social, personal and health education(SPHE)/Relationships and sexuality education (RSE) policy</w:t>
            </w:r>
          </w:p>
        </w:tc>
        <w:tc>
          <w:tcPr>
            <w:tcW w:w="2695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Circulars 37/2010, 23/2010, M27/08, M11/03, M22/00, M20/96, M4/95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34" w:type="dxa"/>
            <w:shd w:val="clear" w:color="auto" w:fill="CCFFFF"/>
          </w:tcPr>
          <w:p w:rsidR="006A3EDA" w:rsidRPr="006A3EDA" w:rsidRDefault="0061368F" w:rsidP="006A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Yes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3581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c>
          <w:tcPr>
            <w:tcW w:w="3019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Substance use policy </w:t>
            </w:r>
          </w:p>
        </w:tc>
        <w:tc>
          <w:tcPr>
            <w:tcW w:w="2695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Department of Education and Skills Directive; guidelines issued to schools in 2002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34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6A3E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Yes </w:t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6A3E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3581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c>
          <w:tcPr>
            <w:tcW w:w="3019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Internet acceptable use policy </w:t>
            </w:r>
          </w:p>
        </w:tc>
        <w:tc>
          <w:tcPr>
            <w:tcW w:w="2695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Department of Education and Skills Directive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34" w:type="dxa"/>
            <w:shd w:val="clear" w:color="auto" w:fill="CCFFFF"/>
          </w:tcPr>
          <w:p w:rsidR="006A3EDA" w:rsidRPr="006A3EDA" w:rsidRDefault="0061368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Yes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3581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EDA" w:rsidRPr="006A3EDA" w:rsidTr="0074321F">
        <w:tc>
          <w:tcPr>
            <w:tcW w:w="3019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 Protection Policy</w:t>
            </w:r>
          </w:p>
        </w:tc>
        <w:tc>
          <w:tcPr>
            <w:tcW w:w="2695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6A3ED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Circular 0065/2011</w:t>
            </w:r>
          </w:p>
          <w:p w:rsidR="006A3EDA" w:rsidRPr="006A3EDA" w:rsidRDefault="006A3EDA" w:rsidP="006A3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34" w:type="dxa"/>
            <w:shd w:val="clear" w:color="auto" w:fill="CCFFFF"/>
          </w:tcPr>
          <w:p w:rsidR="006A3EDA" w:rsidRPr="006A3EDA" w:rsidRDefault="0061368F" w:rsidP="006A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Yes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456979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6A3EDA" w:rsidRPr="006A3E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3581" w:type="dxa"/>
            <w:shd w:val="clear" w:color="auto" w:fill="CCFFFF"/>
          </w:tcPr>
          <w:p w:rsidR="006A3EDA" w:rsidRPr="006A3EDA" w:rsidRDefault="006A3EDA" w:rsidP="006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A1BFE" w:rsidRDefault="008A1BFE" w:rsidP="008A1BFE">
      <w:pPr>
        <w:rPr>
          <w:rFonts w:ascii="Georgia" w:hAnsi="Georgia"/>
          <w:sz w:val="24"/>
          <w:szCs w:val="24"/>
        </w:rPr>
      </w:pPr>
    </w:p>
    <w:p w:rsidR="00E07C04" w:rsidRDefault="00E07C04" w:rsidP="008A1BFE">
      <w:pPr>
        <w:jc w:val="both"/>
      </w:pPr>
    </w:p>
    <w:sectPr w:rsidR="00E07C0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79" w:rsidRDefault="00456979" w:rsidP="00B01A06">
      <w:pPr>
        <w:spacing w:after="0" w:line="240" w:lineRule="auto"/>
      </w:pPr>
      <w:r>
        <w:separator/>
      </w:r>
    </w:p>
  </w:endnote>
  <w:endnote w:type="continuationSeparator" w:id="0">
    <w:p w:rsidR="00456979" w:rsidRDefault="00456979" w:rsidP="00B0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626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606" w:rsidRDefault="005E16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4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606" w:rsidRDefault="005E1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79" w:rsidRDefault="00456979" w:rsidP="00B01A06">
      <w:pPr>
        <w:spacing w:after="0" w:line="240" w:lineRule="auto"/>
      </w:pPr>
      <w:r>
        <w:separator/>
      </w:r>
    </w:p>
  </w:footnote>
  <w:footnote w:type="continuationSeparator" w:id="0">
    <w:p w:rsidR="00456979" w:rsidRDefault="00456979" w:rsidP="00B01A06">
      <w:pPr>
        <w:spacing w:after="0" w:line="240" w:lineRule="auto"/>
      </w:pPr>
      <w:r>
        <w:continuationSeparator/>
      </w:r>
    </w:p>
  </w:footnote>
  <w:footnote w:id="1">
    <w:p w:rsidR="005E1606" w:rsidRPr="00B0277E" w:rsidRDefault="005E1606" w:rsidP="006A3EDA">
      <w:pPr>
        <w:pStyle w:val="FootnoteText"/>
        <w:rPr>
          <w:sz w:val="18"/>
          <w:szCs w:val="18"/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B0277E">
        <w:rPr>
          <w:sz w:val="18"/>
          <w:szCs w:val="18"/>
          <w:lang w:val="en-IE"/>
        </w:rPr>
        <w:t>Under the provisions of the Education (Welfare) Act (2000) (section 23) the school’s code of behaviour should conform to the specifications stated.</w:t>
      </w:r>
    </w:p>
  </w:footnote>
  <w:footnote w:id="2">
    <w:p w:rsidR="005E1606" w:rsidRPr="00B0277E" w:rsidRDefault="005E1606" w:rsidP="006A3EDA">
      <w:pPr>
        <w:pStyle w:val="FootnoteText"/>
        <w:rPr>
          <w:sz w:val="18"/>
          <w:szCs w:val="18"/>
          <w:lang w:val="en-IE"/>
        </w:rPr>
      </w:pPr>
      <w:r w:rsidRPr="00B0277E">
        <w:rPr>
          <w:rStyle w:val="FootnoteReference"/>
          <w:sz w:val="18"/>
          <w:szCs w:val="18"/>
        </w:rPr>
        <w:footnoteRef/>
      </w:r>
      <w:r w:rsidRPr="00B0277E">
        <w:rPr>
          <w:sz w:val="18"/>
          <w:szCs w:val="18"/>
        </w:rPr>
        <w:t xml:space="preserve"> </w:t>
      </w:r>
      <w:r w:rsidRPr="00B0277E">
        <w:rPr>
          <w:sz w:val="18"/>
          <w:szCs w:val="18"/>
          <w:lang w:val="en-IE"/>
        </w:rPr>
        <w:t>Under the provisions of the Education (Welfare) Act (2000) (section 22)</w:t>
      </w:r>
      <w:r>
        <w:rPr>
          <w:sz w:val="18"/>
          <w:szCs w:val="18"/>
          <w:lang w:val="en-IE"/>
        </w:rPr>
        <w:t xml:space="preserve"> </w:t>
      </w:r>
      <w:r w:rsidRPr="00B0277E">
        <w:rPr>
          <w:sz w:val="18"/>
          <w:szCs w:val="18"/>
          <w:lang w:val="en-IE"/>
        </w:rPr>
        <w:t>the school’s attendance strategy should conform with the provisions stipulated.</w:t>
      </w:r>
    </w:p>
  </w:footnote>
  <w:footnote w:id="3">
    <w:p w:rsidR="005E1606" w:rsidRPr="00B0277E" w:rsidRDefault="005E1606" w:rsidP="006A3EDA">
      <w:pPr>
        <w:pStyle w:val="FootnoteText"/>
        <w:rPr>
          <w:sz w:val="18"/>
          <w:szCs w:val="18"/>
          <w:lang w:val="en-IE"/>
        </w:rPr>
      </w:pPr>
      <w:r w:rsidRPr="00B0277E">
        <w:rPr>
          <w:rStyle w:val="FootnoteReference"/>
          <w:sz w:val="18"/>
          <w:szCs w:val="18"/>
        </w:rPr>
        <w:footnoteRef/>
      </w:r>
      <w:r w:rsidRPr="00B0277E">
        <w:rPr>
          <w:sz w:val="18"/>
          <w:szCs w:val="18"/>
        </w:rPr>
        <w:t xml:space="preserve"> </w:t>
      </w:r>
      <w:r w:rsidRPr="00B0277E">
        <w:rPr>
          <w:sz w:val="18"/>
          <w:szCs w:val="18"/>
          <w:lang w:val="en-IE"/>
        </w:rPr>
        <w:t>Section 9 of the Education Act (1998) requires a school to “use its available resources” to identify and provide for the educational needs of those “with a disability or other special educational needs.”</w:t>
      </w:r>
    </w:p>
  </w:footnote>
  <w:footnote w:id="4">
    <w:p w:rsidR="005E1606" w:rsidRPr="00B0277E" w:rsidRDefault="005E1606" w:rsidP="006A3EDA">
      <w:pPr>
        <w:pStyle w:val="FootnoteText"/>
        <w:rPr>
          <w:sz w:val="18"/>
          <w:szCs w:val="18"/>
          <w:lang w:val="en-IE"/>
        </w:rPr>
      </w:pPr>
      <w:r w:rsidRPr="00B0277E">
        <w:rPr>
          <w:rStyle w:val="FootnoteReference"/>
          <w:sz w:val="18"/>
          <w:szCs w:val="18"/>
        </w:rPr>
        <w:footnoteRef/>
      </w:r>
      <w:r w:rsidRPr="00B0277E">
        <w:rPr>
          <w:sz w:val="18"/>
          <w:szCs w:val="18"/>
        </w:rPr>
        <w:t xml:space="preserve"> The EPSEN Act requires that schools be inclusive of and provide an appropriate education for students with special educational needs.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0F0"/>
    <w:multiLevelType w:val="hybridMultilevel"/>
    <w:tmpl w:val="EC3098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51F6D"/>
    <w:multiLevelType w:val="hybridMultilevel"/>
    <w:tmpl w:val="9E48AD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C4FD9"/>
    <w:multiLevelType w:val="hybridMultilevel"/>
    <w:tmpl w:val="E722C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D21D4"/>
    <w:multiLevelType w:val="hybridMultilevel"/>
    <w:tmpl w:val="C6A082A0"/>
    <w:lvl w:ilvl="0" w:tplc="3918D57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53932"/>
    <w:multiLevelType w:val="hybridMultilevel"/>
    <w:tmpl w:val="8C3429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87A3B"/>
    <w:multiLevelType w:val="hybridMultilevel"/>
    <w:tmpl w:val="D7300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52BCA"/>
    <w:multiLevelType w:val="hybridMultilevel"/>
    <w:tmpl w:val="4CC20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8333D"/>
    <w:multiLevelType w:val="hybridMultilevel"/>
    <w:tmpl w:val="B16ACF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A40FB"/>
    <w:multiLevelType w:val="hybridMultilevel"/>
    <w:tmpl w:val="2BB295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B31E1"/>
    <w:multiLevelType w:val="hybridMultilevel"/>
    <w:tmpl w:val="85A211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F6"/>
    <w:rsid w:val="00021BA6"/>
    <w:rsid w:val="00061F1B"/>
    <w:rsid w:val="00080279"/>
    <w:rsid w:val="00091A14"/>
    <w:rsid w:val="00197256"/>
    <w:rsid w:val="00250F0C"/>
    <w:rsid w:val="002B231E"/>
    <w:rsid w:val="002C2AF6"/>
    <w:rsid w:val="002D1340"/>
    <w:rsid w:val="003C10BC"/>
    <w:rsid w:val="00413D09"/>
    <w:rsid w:val="00456979"/>
    <w:rsid w:val="00590990"/>
    <w:rsid w:val="005E1606"/>
    <w:rsid w:val="0061368F"/>
    <w:rsid w:val="006331F5"/>
    <w:rsid w:val="006A3EDA"/>
    <w:rsid w:val="006F3274"/>
    <w:rsid w:val="0074321F"/>
    <w:rsid w:val="007F04E9"/>
    <w:rsid w:val="008A1BFE"/>
    <w:rsid w:val="00906523"/>
    <w:rsid w:val="009B3FB5"/>
    <w:rsid w:val="00AD0F38"/>
    <w:rsid w:val="00B01A06"/>
    <w:rsid w:val="00B118A8"/>
    <w:rsid w:val="00BE3F1A"/>
    <w:rsid w:val="00C21B1F"/>
    <w:rsid w:val="00C37CB2"/>
    <w:rsid w:val="00D84612"/>
    <w:rsid w:val="00DF328D"/>
    <w:rsid w:val="00E07C04"/>
    <w:rsid w:val="00E628F6"/>
    <w:rsid w:val="00F04C3B"/>
    <w:rsid w:val="00F22222"/>
    <w:rsid w:val="00F9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06"/>
  </w:style>
  <w:style w:type="paragraph" w:styleId="Footer">
    <w:name w:val="footer"/>
    <w:basedOn w:val="Normal"/>
    <w:link w:val="FooterChar"/>
    <w:uiPriority w:val="99"/>
    <w:unhideWhenUsed/>
    <w:rsid w:val="00B01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06"/>
  </w:style>
  <w:style w:type="paragraph" w:styleId="FootnoteText">
    <w:name w:val="footnote text"/>
    <w:basedOn w:val="Normal"/>
    <w:link w:val="FootnoteTextChar"/>
    <w:semiHidden/>
    <w:rsid w:val="006A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A3ED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6A3E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B23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1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B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06"/>
  </w:style>
  <w:style w:type="paragraph" w:styleId="Footer">
    <w:name w:val="footer"/>
    <w:basedOn w:val="Normal"/>
    <w:link w:val="FooterChar"/>
    <w:uiPriority w:val="99"/>
    <w:unhideWhenUsed/>
    <w:rsid w:val="00B01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06"/>
  </w:style>
  <w:style w:type="paragraph" w:styleId="FootnoteText">
    <w:name w:val="footnote text"/>
    <w:basedOn w:val="Normal"/>
    <w:link w:val="FootnoteTextChar"/>
    <w:semiHidden/>
    <w:rsid w:val="006A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A3ED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6A3E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B23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1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B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B36B-E784-4B02-B220-7AC0D058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S.O'Donovan</cp:lastModifiedBy>
  <cp:revision>2</cp:revision>
  <dcterms:created xsi:type="dcterms:W3CDTF">2015-09-16T21:10:00Z</dcterms:created>
  <dcterms:modified xsi:type="dcterms:W3CDTF">2015-09-16T21:10:00Z</dcterms:modified>
</cp:coreProperties>
</file>